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80935" w14:textId="77777777" w:rsidR="00C06072" w:rsidRPr="00C852A8" w:rsidRDefault="00EE25FD" w:rsidP="00D124A2">
      <w:pPr>
        <w:pStyle w:val="NormalWeb"/>
        <w:shd w:val="clear" w:color="auto" w:fill="FFFFFF"/>
        <w:spacing w:before="240" w:after="0" w:line="240" w:lineRule="auto"/>
        <w:jc w:val="both"/>
        <w:rPr>
          <w:rFonts w:ascii="Verdana" w:hAnsi="Verdana"/>
          <w:b/>
          <w:bCs/>
          <w:color w:val="215868" w:themeColor="accent5" w:themeShade="80"/>
          <w:sz w:val="16"/>
          <w:szCs w:val="20"/>
          <w:lang w:val="en"/>
        </w:rPr>
      </w:pPr>
      <w:r w:rsidRPr="00C852A8">
        <w:rPr>
          <w:rStyle w:val="Strong"/>
          <w:rFonts w:ascii="Verdana" w:hAnsi="Verdana"/>
          <w:color w:val="215868" w:themeColor="accent5" w:themeShade="80"/>
          <w:sz w:val="16"/>
          <w:szCs w:val="20"/>
          <w:lang w:val="en"/>
        </w:rPr>
        <w:t>Key Indicators</w:t>
      </w:r>
      <w:r w:rsidR="008B31FE" w:rsidRPr="00C852A8">
        <w:rPr>
          <w:rStyle w:val="Strong"/>
          <w:rFonts w:ascii="Verdana" w:hAnsi="Verdana"/>
          <w:color w:val="215868" w:themeColor="accent5" w:themeShade="80"/>
          <w:sz w:val="16"/>
          <w:szCs w:val="20"/>
          <w:lang w:val="en"/>
        </w:rPr>
        <w:t xml:space="preserve"> - </w:t>
      </w:r>
      <w:r w:rsidR="009615C5" w:rsidRPr="00C852A8">
        <w:rPr>
          <w:rFonts w:ascii="Verdana" w:hAnsi="Verdana"/>
          <w:bCs/>
          <w:color w:val="000000"/>
          <w:sz w:val="16"/>
          <w:szCs w:val="20"/>
        </w:rPr>
        <w:t>The Department for Education vision is that</w:t>
      </w:r>
      <w:r w:rsidR="009615C5" w:rsidRPr="00C852A8">
        <w:rPr>
          <w:rFonts w:ascii="Verdana" w:hAnsi="Verdana"/>
          <w:color w:val="000000"/>
          <w:sz w:val="16"/>
          <w:szCs w:val="20"/>
        </w:rPr>
        <w:t xml:space="preserve"> all pupils leaving primary school are physically literate and have the knowledge, skills and motivation necessary to equip them for a healthy lifestyle and lifelong participation in physical activity and sport.</w:t>
      </w:r>
      <w:r w:rsidR="009615C5" w:rsidRPr="00C852A8">
        <w:rPr>
          <w:rFonts w:ascii="Verdana" w:hAnsi="Verdana"/>
          <w:sz w:val="16"/>
          <w:szCs w:val="20"/>
          <w:lang w:val="en"/>
        </w:rPr>
        <w:t xml:space="preserve"> </w:t>
      </w:r>
      <w:r w:rsidR="001B55F9" w:rsidRPr="00C852A8">
        <w:rPr>
          <w:rFonts w:ascii="Verdana" w:hAnsi="Verdana"/>
          <w:sz w:val="16"/>
          <w:szCs w:val="20"/>
          <w:lang w:val="en"/>
        </w:rPr>
        <w:t xml:space="preserve">The objective is </w:t>
      </w:r>
      <w:r w:rsidR="001B55F9" w:rsidRPr="00C852A8">
        <w:rPr>
          <w:rFonts w:ascii="Verdana" w:hAnsi="Verdana"/>
          <w:color w:val="000000"/>
          <w:sz w:val="16"/>
          <w:szCs w:val="20"/>
        </w:rPr>
        <w:t>to achieve self-sustaining improvement in the quality of PE and sport that delivers h</w:t>
      </w:r>
      <w:proofErr w:type="spellStart"/>
      <w:r w:rsidR="00531094" w:rsidRPr="00C852A8">
        <w:rPr>
          <w:rFonts w:ascii="Verdana" w:hAnsi="Verdana"/>
          <w:sz w:val="16"/>
          <w:szCs w:val="20"/>
          <w:lang w:val="en"/>
        </w:rPr>
        <w:t>igh</w:t>
      </w:r>
      <w:proofErr w:type="spellEnd"/>
      <w:r w:rsidR="00531094" w:rsidRPr="00C852A8">
        <w:rPr>
          <w:rFonts w:ascii="Verdana" w:hAnsi="Verdana"/>
          <w:sz w:val="16"/>
          <w:szCs w:val="20"/>
          <w:lang w:val="en"/>
        </w:rPr>
        <w:t xml:space="preserve"> </w:t>
      </w:r>
      <w:r w:rsidR="001B55F9" w:rsidRPr="00C852A8">
        <w:rPr>
          <w:rFonts w:ascii="Verdana" w:hAnsi="Verdana"/>
          <w:sz w:val="16"/>
          <w:szCs w:val="20"/>
          <w:lang w:val="en"/>
        </w:rPr>
        <w:t>quality provision of a balanced and holistic PE and</w:t>
      </w:r>
      <w:r w:rsidR="00917873" w:rsidRPr="00C852A8">
        <w:rPr>
          <w:rFonts w:ascii="Verdana" w:hAnsi="Verdana"/>
          <w:sz w:val="16"/>
          <w:szCs w:val="20"/>
          <w:lang w:val="en"/>
        </w:rPr>
        <w:t xml:space="preserve"> school sport offer.</w:t>
      </w:r>
      <w:r w:rsidR="00D124A2" w:rsidRPr="00C852A8">
        <w:rPr>
          <w:rFonts w:ascii="Verdana" w:hAnsi="Verdana"/>
          <w:sz w:val="16"/>
          <w:szCs w:val="20"/>
          <w:lang w:val="en"/>
        </w:rPr>
        <w:t xml:space="preserve"> </w:t>
      </w:r>
      <w:r w:rsidR="00C06072" w:rsidRPr="00C852A8">
        <w:rPr>
          <w:rFonts w:ascii="Verdana" w:hAnsi="Verdana"/>
          <w:bCs/>
          <w:color w:val="000000"/>
          <w:sz w:val="16"/>
          <w:szCs w:val="20"/>
        </w:rPr>
        <w:t>There are 5 key indicators that schools should expect to see improvement across:</w:t>
      </w:r>
    </w:p>
    <w:p w14:paraId="0986020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14:paraId="7507D2B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profile of PE and sport is raised across the school as a tool for whole-school improvement</w:t>
      </w:r>
    </w:p>
    <w:p w14:paraId="482B2446"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increased confidence, knowledge and skills of all staff in teaching PE and sport</w:t>
      </w:r>
    </w:p>
    <w:p w14:paraId="11CB5986" w14:textId="77777777" w:rsidR="00F6790F" w:rsidRDefault="00C06072" w:rsidP="00F6790F">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broader experience of a range of sports and activities offered to all pupils</w:t>
      </w:r>
    </w:p>
    <w:p w14:paraId="0B3106D1" w14:textId="4A4A0CD6" w:rsidR="00F6790F" w:rsidRDefault="00F6790F" w:rsidP="00F6790F">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F6790F">
        <w:rPr>
          <w:rFonts w:ascii="Verdana" w:eastAsia="Times New Roman" w:hAnsi="Verdana" w:cs="Times New Roman"/>
          <w:bCs/>
          <w:color w:val="000000"/>
          <w:sz w:val="16"/>
          <w:szCs w:val="20"/>
          <w:lang w:eastAsia="en-GB"/>
        </w:rPr>
        <w:t>increased participation in competitive sport</w:t>
      </w:r>
    </w:p>
    <w:p w14:paraId="355DFAA4" w14:textId="6CB796B7" w:rsidR="00DB456B" w:rsidRDefault="00CE18CC" w:rsidP="0091778D">
      <w:pPr>
        <w:spacing w:before="100" w:beforeAutospacing="1" w:after="100" w:afterAutospacing="1" w:line="240" w:lineRule="auto"/>
        <w:rPr>
          <w:rFonts w:ascii="Verdana" w:eastAsia="Times New Roman" w:hAnsi="Verdana" w:cs="Times New Roman"/>
          <w:bCs/>
          <w:color w:val="000000"/>
          <w:sz w:val="16"/>
          <w:szCs w:val="20"/>
          <w:lang w:eastAsia="en-GB"/>
        </w:rPr>
      </w:pPr>
      <w:r>
        <w:rPr>
          <w:rFonts w:ascii="Verdana" w:eastAsia="Times New Roman" w:hAnsi="Verdana" w:cs="Times New Roman"/>
          <w:bCs/>
          <w:color w:val="000000"/>
          <w:sz w:val="16"/>
          <w:szCs w:val="20"/>
          <w:lang w:eastAsia="en-GB"/>
        </w:rPr>
        <w:t xml:space="preserve">Of these priorities this year, the school </w:t>
      </w:r>
      <w:r w:rsidR="0091778D">
        <w:rPr>
          <w:rFonts w:ascii="Verdana" w:eastAsia="Times New Roman" w:hAnsi="Verdana" w:cs="Times New Roman"/>
          <w:bCs/>
          <w:color w:val="000000"/>
          <w:sz w:val="16"/>
          <w:szCs w:val="20"/>
          <w:lang w:eastAsia="en-GB"/>
        </w:rPr>
        <w:t>will be focusing</w:t>
      </w:r>
      <w:r w:rsidR="00DB456B">
        <w:rPr>
          <w:rFonts w:ascii="Verdana" w:eastAsia="Times New Roman" w:hAnsi="Verdana" w:cs="Times New Roman"/>
          <w:bCs/>
          <w:color w:val="000000"/>
          <w:sz w:val="16"/>
          <w:szCs w:val="20"/>
          <w:lang w:eastAsia="en-GB"/>
        </w:rPr>
        <w:t xml:space="preserve"> on</w:t>
      </w:r>
      <w:r w:rsidR="0091778D">
        <w:rPr>
          <w:rFonts w:ascii="Verdana" w:eastAsia="Times New Roman" w:hAnsi="Verdana" w:cs="Times New Roman"/>
          <w:bCs/>
          <w:color w:val="000000"/>
          <w:sz w:val="16"/>
          <w:szCs w:val="20"/>
          <w:lang w:eastAsia="en-GB"/>
        </w:rPr>
        <w:t xml:space="preserve"> </w:t>
      </w:r>
      <w:r w:rsidR="00DB456B">
        <w:rPr>
          <w:rFonts w:ascii="Verdana" w:eastAsia="Times New Roman" w:hAnsi="Verdana" w:cs="Times New Roman"/>
          <w:bCs/>
          <w:color w:val="000000"/>
          <w:sz w:val="16"/>
          <w:szCs w:val="20"/>
          <w:lang w:eastAsia="en-GB"/>
        </w:rPr>
        <w:t>t</w:t>
      </w:r>
      <w:r w:rsidR="00DB456B" w:rsidRPr="00DB456B">
        <w:rPr>
          <w:rFonts w:ascii="Verdana" w:eastAsia="Times New Roman" w:hAnsi="Verdana" w:cs="Times New Roman"/>
          <w:bCs/>
          <w:color w:val="000000"/>
          <w:sz w:val="16"/>
          <w:szCs w:val="20"/>
          <w:lang w:eastAsia="en-GB"/>
        </w:rPr>
        <w:t>he engagement of all pupils in regular physical activity</w:t>
      </w:r>
      <w:r w:rsidR="00DB456B">
        <w:rPr>
          <w:rFonts w:ascii="Verdana" w:eastAsia="Times New Roman" w:hAnsi="Verdana" w:cs="Times New Roman"/>
          <w:bCs/>
          <w:color w:val="000000"/>
          <w:sz w:val="16"/>
          <w:szCs w:val="20"/>
          <w:lang w:eastAsia="en-GB"/>
        </w:rPr>
        <w:t xml:space="preserve">, primarily through the after school Sports Academy programme.  We wish to </w:t>
      </w:r>
      <w:proofErr w:type="spellStart"/>
      <w:r w:rsidR="00DB456B">
        <w:rPr>
          <w:rFonts w:ascii="Verdana" w:eastAsia="Times New Roman" w:hAnsi="Verdana" w:cs="Times New Roman"/>
          <w:bCs/>
          <w:color w:val="000000"/>
          <w:sz w:val="16"/>
          <w:szCs w:val="20"/>
          <w:lang w:eastAsia="en-GB"/>
        </w:rPr>
        <w:t>contrinue</w:t>
      </w:r>
      <w:proofErr w:type="spellEnd"/>
      <w:r w:rsidR="00DB456B">
        <w:rPr>
          <w:rFonts w:ascii="Verdana" w:eastAsia="Times New Roman" w:hAnsi="Verdana" w:cs="Times New Roman"/>
          <w:bCs/>
          <w:color w:val="000000"/>
          <w:sz w:val="16"/>
          <w:szCs w:val="20"/>
          <w:lang w:eastAsia="en-GB"/>
        </w:rPr>
        <w:t xml:space="preserve"> to build the numbers attending our after school provision, given that we are confident that the “core” offer of Real PE is well resourced and well delivered.  </w:t>
      </w:r>
      <w:proofErr w:type="spellStart"/>
      <w:r w:rsidR="00DB456B">
        <w:rPr>
          <w:rFonts w:ascii="Verdana" w:eastAsia="Times New Roman" w:hAnsi="Verdana" w:cs="Times New Roman"/>
          <w:bCs/>
          <w:color w:val="000000"/>
          <w:sz w:val="16"/>
          <w:szCs w:val="20"/>
          <w:lang w:eastAsia="en-GB"/>
        </w:rPr>
        <w:t>Thtough</w:t>
      </w:r>
      <w:proofErr w:type="spellEnd"/>
      <w:r w:rsidR="00DB456B">
        <w:rPr>
          <w:rFonts w:ascii="Verdana" w:eastAsia="Times New Roman" w:hAnsi="Verdana" w:cs="Times New Roman"/>
          <w:bCs/>
          <w:color w:val="000000"/>
          <w:sz w:val="16"/>
          <w:szCs w:val="20"/>
          <w:lang w:eastAsia="en-GB"/>
        </w:rPr>
        <w:t xml:space="preserve"> the Sports Academy programme, we can build engagement across a range of sports, including sports both with a competitive and non-competitive dimension.  In its first year, the Sports Academy achieved a degree of prestige that we now wish to see more children accessing – the cost for each club is, of course, free.</w:t>
      </w:r>
    </w:p>
    <w:p w14:paraId="5C0E675B" w14:textId="74E8982A" w:rsidR="00A4411D" w:rsidRPr="00A4411D" w:rsidRDefault="00F6790F" w:rsidP="00F6790F">
      <w:pPr>
        <w:spacing w:before="100" w:beforeAutospacing="1" w:after="100" w:afterAutospacing="1" w:line="240" w:lineRule="auto"/>
        <w:rPr>
          <w:rFonts w:ascii="Verdana" w:eastAsia="Times New Roman" w:hAnsi="Verdana" w:cs="Times New Roman"/>
          <w:bCs/>
          <w:color w:val="000000"/>
          <w:sz w:val="16"/>
          <w:szCs w:val="20"/>
          <w:lang w:eastAsia="en-GB"/>
        </w:rPr>
      </w:pPr>
      <w:r w:rsidRPr="00C852A8">
        <w:rPr>
          <w:rStyle w:val="Strong"/>
          <w:rFonts w:ascii="Verdana" w:hAnsi="Verdana"/>
          <w:color w:val="215868" w:themeColor="accent5" w:themeShade="80"/>
          <w:sz w:val="16"/>
          <w:szCs w:val="20"/>
          <w:lang w:val="en"/>
        </w:rPr>
        <w:t xml:space="preserve">Accountability &amp; Impact - </w:t>
      </w:r>
      <w:hyperlink r:id="rId8" w:history="1">
        <w:proofErr w:type="spellStart"/>
        <w:r w:rsidRPr="00C852A8">
          <w:rPr>
            <w:rStyle w:val="Hyperlink"/>
            <w:rFonts w:ascii="Verdana" w:hAnsi="Verdana"/>
            <w:color w:val="auto"/>
            <w:sz w:val="16"/>
            <w:szCs w:val="20"/>
            <w:u w:val="none"/>
            <w:lang w:val="en"/>
          </w:rPr>
          <w:t>Ofsted</w:t>
        </w:r>
        <w:proofErr w:type="spellEnd"/>
      </w:hyperlink>
      <w:r w:rsidRPr="00C852A8">
        <w:rPr>
          <w:rFonts w:ascii="Verdana" w:hAnsi="Verdana"/>
          <w:sz w:val="16"/>
          <w:szCs w:val="20"/>
          <w:lang w:val="en"/>
        </w:rPr>
        <w:t xml:space="preserve"> inspectors will assess and report on how effectively this new funding is being used when making the judgement on the quality of the school's leadership and management.</w:t>
      </w:r>
      <w:r>
        <w:rPr>
          <w:rFonts w:ascii="Verdana" w:eastAsia="Times New Roman" w:hAnsi="Verdana" w:cs="Times New Roman"/>
          <w:bCs/>
          <w:color w:val="000000"/>
          <w:sz w:val="16"/>
          <w:szCs w:val="20"/>
          <w:lang w:eastAsia="en-GB"/>
        </w:rPr>
        <w:t xml:space="preserve"> </w:t>
      </w:r>
      <w:r w:rsidRPr="00C852A8">
        <w:rPr>
          <w:rFonts w:ascii="Verdana" w:hAnsi="Verdana"/>
          <w:sz w:val="16"/>
          <w:szCs w:val="20"/>
          <w:lang w:val="en"/>
        </w:rPr>
        <w:t>Schools are required to keep parents informed and publish plans for deployment of premium funding on their website</w:t>
      </w:r>
      <w:r>
        <w:rPr>
          <w:rFonts w:ascii="Verdana" w:hAnsi="Verdana"/>
          <w:sz w:val="16"/>
          <w:szCs w:val="20"/>
          <w:lang w:val="en"/>
        </w:rPr>
        <w:t xml:space="preserve"> and must include:</w:t>
      </w:r>
      <w:r w:rsidRPr="00C852A8">
        <w:rPr>
          <w:rFonts w:ascii="Verdana" w:hAnsi="Verdana"/>
          <w:sz w:val="16"/>
          <w:szCs w:val="20"/>
          <w:lang w:val="en"/>
        </w:rPr>
        <w:t xml:space="preserve"> </w:t>
      </w:r>
    </w:p>
    <w:p w14:paraId="48D26807" w14:textId="580FE59D" w:rsidR="00F6790F"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the amount of premium received</w:t>
      </w:r>
    </w:p>
    <w:p w14:paraId="2F9FE8F3" w14:textId="03B81A3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a full breakdown of how it has been spent (or will be spent)</w:t>
      </w:r>
    </w:p>
    <w:p w14:paraId="24B8726B"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what impact the school has seen on pupils’ PE and sport </w:t>
      </w:r>
      <w:r w:rsidRPr="00A4411D">
        <w:rPr>
          <w:rFonts w:ascii="Verdana" w:eastAsia="Times New Roman" w:hAnsi="Verdana" w:cs="Times New Roman"/>
          <w:b/>
          <w:bCs/>
          <w:sz w:val="16"/>
          <w:szCs w:val="20"/>
          <w:lang w:val="en" w:eastAsia="en-GB"/>
        </w:rPr>
        <w:t>participation and attainment</w:t>
      </w:r>
    </w:p>
    <w:p w14:paraId="530A38EE"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how the improvements will be </w:t>
      </w:r>
      <w:r w:rsidRPr="00A4411D">
        <w:rPr>
          <w:rFonts w:ascii="Verdana" w:eastAsia="Times New Roman" w:hAnsi="Verdana" w:cs="Times New Roman"/>
          <w:b/>
          <w:bCs/>
          <w:sz w:val="16"/>
          <w:szCs w:val="20"/>
          <w:lang w:val="en" w:eastAsia="en-GB"/>
        </w:rPr>
        <w:t>sustainable</w:t>
      </w:r>
      <w:r w:rsidRPr="00A4411D">
        <w:rPr>
          <w:rFonts w:ascii="Verdana" w:eastAsia="Times New Roman" w:hAnsi="Verdana" w:cs="Times New Roman"/>
          <w:sz w:val="16"/>
          <w:szCs w:val="20"/>
          <w:lang w:val="en" w:eastAsia="en-GB"/>
        </w:rPr>
        <w:t xml:space="preserve"> in the future</w:t>
      </w:r>
    </w:p>
    <w:p w14:paraId="4A36D5EE"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the percentage of pupils within their year 6 cohort for academic year 2020 to 2021 that can do each of the following: </w:t>
      </w:r>
    </w:p>
    <w:p w14:paraId="34B9F2A3" w14:textId="77777777" w:rsidR="00A4411D"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swim competently, confidently, and proficiently over a distance of at least 25 </w:t>
      </w:r>
      <w:proofErr w:type="spellStart"/>
      <w:r w:rsidRPr="00A4411D">
        <w:rPr>
          <w:rFonts w:ascii="Verdana" w:eastAsia="Times New Roman" w:hAnsi="Verdana" w:cs="Times New Roman"/>
          <w:sz w:val="16"/>
          <w:szCs w:val="20"/>
          <w:lang w:val="en" w:eastAsia="en-GB"/>
        </w:rPr>
        <w:t>metres</w:t>
      </w:r>
      <w:proofErr w:type="spellEnd"/>
    </w:p>
    <w:p w14:paraId="5C9E35A0" w14:textId="77777777" w:rsidR="00A4411D"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use a range of strokes effectively (for example front crawl, backstroke and breaststroke</w:t>
      </w:r>
    </w:p>
    <w:p w14:paraId="70B6C031" w14:textId="1456EB72" w:rsidR="00F6790F" w:rsidRPr="00F6790F"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perform safe self-rescue in different water-based situations</w:t>
      </w:r>
    </w:p>
    <w:p w14:paraId="1FD22627" w14:textId="26941E08" w:rsidR="00F6790F" w:rsidRDefault="00F6790F"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1B50D6A6" w14:textId="07476B8F" w:rsidR="003B1FE5" w:rsidRDefault="003B1FE5"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59F60AD7" w14:textId="4F0AB54B" w:rsidR="003B1FE5" w:rsidRDefault="003B1FE5"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68D9DA42" w14:textId="0896F1EB" w:rsidR="003B1FE5" w:rsidRDefault="003B1FE5"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21CB72FB" w14:textId="77777777" w:rsidR="003B1FE5" w:rsidRPr="00F6790F" w:rsidRDefault="003B1FE5" w:rsidP="008B31FE">
      <w:pPr>
        <w:pStyle w:val="NormalWeb"/>
        <w:shd w:val="clear" w:color="auto" w:fill="FFFFFF"/>
        <w:spacing w:before="240" w:after="120" w:line="240" w:lineRule="auto"/>
        <w:jc w:val="both"/>
        <w:rPr>
          <w:rFonts w:ascii="Verdana" w:hAnsi="Verdana"/>
          <w:b/>
          <w:bCs/>
          <w:color w:val="215868" w:themeColor="accent5" w:themeShade="80"/>
          <w:sz w:val="16"/>
          <w:szCs w:val="20"/>
          <w:lang w:val="en"/>
        </w:rPr>
      </w:pPr>
    </w:p>
    <w:tbl>
      <w:tblPr>
        <w:tblStyle w:val="TableGrid"/>
        <w:tblpPr w:leftFromText="180" w:rightFromText="180" w:vertAnchor="text" w:tblpY="1"/>
        <w:tblOverlap w:val="never"/>
        <w:tblW w:w="157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32"/>
        <w:gridCol w:w="5098"/>
      </w:tblGrid>
      <w:tr w:rsidR="00F6790F" w14:paraId="37AD5230" w14:textId="77777777" w:rsidTr="00A9544E">
        <w:trPr>
          <w:trHeight w:val="102"/>
        </w:trPr>
        <w:tc>
          <w:tcPr>
            <w:tcW w:w="10632" w:type="dxa"/>
            <w:shd w:val="clear" w:color="auto" w:fill="215868" w:themeFill="accent5" w:themeFillShade="80"/>
            <w:tcMar>
              <w:top w:w="28" w:type="dxa"/>
              <w:bottom w:w="28" w:type="dxa"/>
            </w:tcMar>
            <w:vAlign w:val="center"/>
          </w:tcPr>
          <w:p w14:paraId="6B891BF8" w14:textId="7477C718" w:rsidR="00F6790F" w:rsidRPr="00C852A8" w:rsidRDefault="00F6790F" w:rsidP="001007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lastRenderedPageBreak/>
              <w:t>The total fu</w:t>
            </w:r>
            <w:r w:rsidR="00BA3628">
              <w:rPr>
                <w:rFonts w:ascii="Verdana" w:hAnsi="Verdana"/>
                <w:b/>
                <w:color w:val="C2D69B" w:themeColor="accent3" w:themeTint="99"/>
                <w:sz w:val="16"/>
                <w:szCs w:val="20"/>
                <w:lang w:val="en"/>
              </w:rPr>
              <w:t>nding for the academic year 2022/23</w:t>
            </w:r>
          </w:p>
        </w:tc>
        <w:tc>
          <w:tcPr>
            <w:tcW w:w="5098" w:type="dxa"/>
            <w:shd w:val="clear" w:color="auto" w:fill="215868" w:themeFill="accent5" w:themeFillShade="80"/>
            <w:tcMar>
              <w:top w:w="28" w:type="dxa"/>
              <w:bottom w:w="28" w:type="dxa"/>
            </w:tcMar>
            <w:vAlign w:val="center"/>
          </w:tcPr>
          <w:p w14:paraId="0602E239" w14:textId="55322D8B" w:rsidR="00F6790F" w:rsidRPr="00C852A8" w:rsidRDefault="00A9544E" w:rsidP="00DB456B">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w:t>
            </w:r>
            <w:r w:rsidR="00DB456B">
              <w:rPr>
                <w:rFonts w:ascii="Verdana" w:hAnsi="Verdana"/>
                <w:b/>
                <w:color w:val="C2D69B" w:themeColor="accent3" w:themeTint="99"/>
                <w:sz w:val="16"/>
                <w:szCs w:val="20"/>
                <w:lang w:val="en"/>
              </w:rPr>
              <w:t>20070</w:t>
            </w:r>
          </w:p>
        </w:tc>
      </w:tr>
      <w:tr w:rsidR="00D124A2" w14:paraId="25A62B95" w14:textId="77777777" w:rsidTr="00A9544E">
        <w:trPr>
          <w:trHeight w:val="150"/>
        </w:trPr>
        <w:tc>
          <w:tcPr>
            <w:tcW w:w="10632" w:type="dxa"/>
            <w:shd w:val="clear" w:color="auto" w:fill="215868" w:themeFill="accent5" w:themeFillShade="80"/>
            <w:tcMar>
              <w:top w:w="28" w:type="dxa"/>
              <w:bottom w:w="28" w:type="dxa"/>
            </w:tcMar>
            <w:vAlign w:val="center"/>
          </w:tcPr>
          <w:p w14:paraId="0B61DAF5" w14:textId="3CCF9C9D" w:rsidR="00D124A2"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 xml:space="preserve">What percentage of your Year 6 pupils could swim competently, confidently and proficiently over a distance of at least 25 </w:t>
            </w:r>
            <w:r w:rsidR="00F6790F" w:rsidRPr="00C852A8">
              <w:rPr>
                <w:rFonts w:ascii="Verdana" w:hAnsi="Verdana"/>
                <w:b/>
                <w:color w:val="C2D69B" w:themeColor="accent3" w:themeTint="99"/>
                <w:sz w:val="16"/>
                <w:szCs w:val="20"/>
                <w:lang w:val="en"/>
              </w:rPr>
              <w:t>meters</w:t>
            </w:r>
            <w:r w:rsidRPr="00C852A8">
              <w:rPr>
                <w:rFonts w:ascii="Verdana" w:hAnsi="Verdana"/>
                <w:b/>
                <w:color w:val="C2D69B" w:themeColor="accent3" w:themeTint="99"/>
                <w:sz w:val="16"/>
                <w:szCs w:val="20"/>
                <w:lang w:val="en"/>
              </w:rPr>
              <w:t xml:space="preserve"> when they left your primary school at the end of last academic year?</w:t>
            </w:r>
          </w:p>
        </w:tc>
        <w:tc>
          <w:tcPr>
            <w:tcW w:w="5098" w:type="dxa"/>
            <w:shd w:val="clear" w:color="auto" w:fill="215868" w:themeFill="accent5" w:themeFillShade="80"/>
            <w:tcMar>
              <w:top w:w="28" w:type="dxa"/>
              <w:bottom w:w="28" w:type="dxa"/>
            </w:tcMar>
            <w:vAlign w:val="center"/>
          </w:tcPr>
          <w:p w14:paraId="446497A9" w14:textId="2E0B9086" w:rsidR="00D124A2" w:rsidRDefault="00D124A2" w:rsidP="00D124A2">
            <w:pPr>
              <w:pStyle w:val="NormalWeb"/>
              <w:spacing w:after="120" w:line="240" w:lineRule="auto"/>
              <w:rPr>
                <w:rFonts w:ascii="Verdana" w:hAnsi="Verdana"/>
                <w:b/>
                <w:color w:val="C2D69B" w:themeColor="accent3" w:themeTint="99"/>
                <w:sz w:val="16"/>
                <w:szCs w:val="20"/>
                <w:lang w:val="en"/>
              </w:rPr>
            </w:pPr>
          </w:p>
          <w:p w14:paraId="44199CEE" w14:textId="0B2ABCCE" w:rsidR="00A9544E" w:rsidRPr="00C852A8" w:rsidRDefault="00971250" w:rsidP="00971250">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2022</w:t>
            </w:r>
            <w:r w:rsidR="00DB456B">
              <w:rPr>
                <w:rFonts w:ascii="Verdana" w:hAnsi="Verdana"/>
                <w:b/>
                <w:color w:val="C2D69B" w:themeColor="accent3" w:themeTint="99"/>
                <w:sz w:val="16"/>
                <w:szCs w:val="20"/>
                <w:lang w:val="en"/>
              </w:rPr>
              <w:t>/2</w:t>
            </w:r>
            <w:r>
              <w:rPr>
                <w:rFonts w:ascii="Verdana" w:hAnsi="Verdana"/>
                <w:b/>
                <w:color w:val="C2D69B" w:themeColor="accent3" w:themeTint="99"/>
                <w:sz w:val="16"/>
                <w:szCs w:val="20"/>
                <w:lang w:val="en"/>
              </w:rPr>
              <w:t>3</w:t>
            </w:r>
            <w:r w:rsidR="00BA3628">
              <w:rPr>
                <w:rFonts w:ascii="Verdana" w:hAnsi="Verdana"/>
                <w:b/>
                <w:color w:val="C2D69B" w:themeColor="accent3" w:themeTint="99"/>
                <w:sz w:val="16"/>
                <w:szCs w:val="20"/>
                <w:lang w:val="en"/>
              </w:rPr>
              <w:t xml:space="preserve"> – </w:t>
            </w:r>
            <w:r>
              <w:rPr>
                <w:rFonts w:ascii="Verdana" w:hAnsi="Verdana"/>
                <w:b/>
                <w:color w:val="C2D69B" w:themeColor="accent3" w:themeTint="99"/>
                <w:sz w:val="16"/>
                <w:szCs w:val="20"/>
                <w:lang w:val="en"/>
              </w:rPr>
              <w:t>48</w:t>
            </w:r>
            <w:r w:rsidR="00A9544E">
              <w:rPr>
                <w:rFonts w:ascii="Verdana" w:hAnsi="Verdana"/>
                <w:b/>
                <w:color w:val="C2D69B" w:themeColor="accent3" w:themeTint="99"/>
                <w:sz w:val="16"/>
                <w:szCs w:val="20"/>
                <w:lang w:val="en"/>
              </w:rPr>
              <w:t>%</w:t>
            </w:r>
          </w:p>
        </w:tc>
      </w:tr>
      <w:tr w:rsidR="00EE25FD" w14:paraId="03D7987C" w14:textId="77777777" w:rsidTr="00A9544E">
        <w:trPr>
          <w:trHeight w:val="286"/>
        </w:trPr>
        <w:tc>
          <w:tcPr>
            <w:tcW w:w="10632" w:type="dxa"/>
            <w:shd w:val="clear" w:color="auto" w:fill="215868" w:themeFill="accent5" w:themeFillShade="80"/>
            <w:tcMar>
              <w:top w:w="28" w:type="dxa"/>
              <w:bottom w:w="28" w:type="dxa"/>
            </w:tcMar>
            <w:vAlign w:val="center"/>
          </w:tcPr>
          <w:p w14:paraId="72E2B3CA"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use a range of strokes effectively [for example, front crawl, backstroke and breaststroke] when they left your primary school at the end of last academic year?</w:t>
            </w:r>
          </w:p>
        </w:tc>
        <w:tc>
          <w:tcPr>
            <w:tcW w:w="5098" w:type="dxa"/>
            <w:shd w:val="clear" w:color="auto" w:fill="215868" w:themeFill="accent5" w:themeFillShade="80"/>
            <w:tcMar>
              <w:top w:w="28" w:type="dxa"/>
              <w:bottom w:w="28" w:type="dxa"/>
            </w:tcMar>
            <w:vAlign w:val="center"/>
          </w:tcPr>
          <w:p w14:paraId="73A67432" w14:textId="138ADDB1" w:rsidR="00A9544E" w:rsidRDefault="00971250" w:rsidP="00A9544E">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8</w:t>
            </w:r>
          </w:p>
          <w:p w14:paraId="7E184337" w14:textId="70307E4B" w:rsidR="00EE25FD" w:rsidRPr="00C852A8" w:rsidRDefault="00971250" w:rsidP="00A9544E">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2022/23 – 44</w:t>
            </w:r>
            <w:r w:rsidR="00A9544E">
              <w:rPr>
                <w:rFonts w:ascii="Verdana" w:hAnsi="Verdana"/>
                <w:b/>
                <w:color w:val="C2D69B" w:themeColor="accent3" w:themeTint="99"/>
                <w:sz w:val="16"/>
                <w:szCs w:val="20"/>
                <w:lang w:val="en"/>
              </w:rPr>
              <w:t>%</w:t>
            </w:r>
          </w:p>
        </w:tc>
      </w:tr>
      <w:tr w:rsidR="00EE25FD" w14:paraId="7F111054" w14:textId="77777777" w:rsidTr="00A9544E">
        <w:trPr>
          <w:trHeight w:val="36"/>
        </w:trPr>
        <w:tc>
          <w:tcPr>
            <w:tcW w:w="10632" w:type="dxa"/>
            <w:shd w:val="clear" w:color="auto" w:fill="215868" w:themeFill="accent5" w:themeFillShade="80"/>
            <w:tcMar>
              <w:top w:w="28" w:type="dxa"/>
              <w:bottom w:w="28" w:type="dxa"/>
            </w:tcMar>
            <w:vAlign w:val="center"/>
          </w:tcPr>
          <w:p w14:paraId="01017823"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perform safe self-rescue in different water-based situations when they left your primary school at the end of last academic year?</w:t>
            </w:r>
          </w:p>
        </w:tc>
        <w:tc>
          <w:tcPr>
            <w:tcW w:w="5098" w:type="dxa"/>
            <w:shd w:val="clear" w:color="auto" w:fill="215868" w:themeFill="accent5" w:themeFillShade="80"/>
            <w:tcMar>
              <w:top w:w="28" w:type="dxa"/>
              <w:bottom w:w="28" w:type="dxa"/>
            </w:tcMar>
            <w:vAlign w:val="center"/>
          </w:tcPr>
          <w:p w14:paraId="306A74D6" w14:textId="0BFA11D5" w:rsidR="00EE25FD" w:rsidRPr="00C852A8" w:rsidRDefault="00BA3628" w:rsidP="00971250">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2</w:t>
            </w:r>
            <w:r w:rsidR="00DB456B">
              <w:rPr>
                <w:rFonts w:ascii="Verdana" w:hAnsi="Verdana"/>
                <w:b/>
                <w:color w:val="C2D69B" w:themeColor="accent3" w:themeTint="99"/>
                <w:sz w:val="16"/>
                <w:szCs w:val="20"/>
                <w:lang w:val="en"/>
              </w:rPr>
              <w:t>02</w:t>
            </w:r>
            <w:r w:rsidR="00971250">
              <w:rPr>
                <w:rFonts w:ascii="Verdana" w:hAnsi="Verdana"/>
                <w:b/>
                <w:color w:val="C2D69B" w:themeColor="accent3" w:themeTint="99"/>
                <w:sz w:val="16"/>
                <w:szCs w:val="20"/>
                <w:lang w:val="en"/>
              </w:rPr>
              <w:t>2</w:t>
            </w:r>
            <w:r w:rsidR="00DB456B">
              <w:rPr>
                <w:rFonts w:ascii="Verdana" w:hAnsi="Verdana"/>
                <w:b/>
                <w:color w:val="C2D69B" w:themeColor="accent3" w:themeTint="99"/>
                <w:sz w:val="16"/>
                <w:szCs w:val="20"/>
                <w:lang w:val="en"/>
              </w:rPr>
              <w:t>/22</w:t>
            </w:r>
            <w:r w:rsidR="00971250">
              <w:rPr>
                <w:rFonts w:ascii="Verdana" w:hAnsi="Verdana"/>
                <w:b/>
                <w:color w:val="C2D69B" w:themeColor="accent3" w:themeTint="99"/>
                <w:sz w:val="16"/>
                <w:szCs w:val="20"/>
                <w:lang w:val="en"/>
              </w:rPr>
              <w:t>3 – 71</w:t>
            </w:r>
            <w:r w:rsidR="00A9544E">
              <w:rPr>
                <w:rFonts w:ascii="Verdana" w:hAnsi="Verdana"/>
                <w:b/>
                <w:color w:val="C2D69B" w:themeColor="accent3" w:themeTint="99"/>
                <w:sz w:val="16"/>
                <w:szCs w:val="20"/>
                <w:lang w:val="en"/>
              </w:rPr>
              <w:t>%</w:t>
            </w:r>
          </w:p>
        </w:tc>
      </w:tr>
      <w:tr w:rsidR="00EE25FD" w14:paraId="39B301B1" w14:textId="77777777" w:rsidTr="00A9544E">
        <w:trPr>
          <w:trHeight w:val="149"/>
        </w:trPr>
        <w:tc>
          <w:tcPr>
            <w:tcW w:w="10632" w:type="dxa"/>
            <w:shd w:val="clear" w:color="auto" w:fill="215868" w:themeFill="accent5" w:themeFillShade="80"/>
            <w:tcMar>
              <w:top w:w="28" w:type="dxa"/>
              <w:bottom w:w="28" w:type="dxa"/>
            </w:tcMar>
            <w:vAlign w:val="center"/>
          </w:tcPr>
          <w:p w14:paraId="4CAC6302"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Schools can choose to use the Primary PE and Sport Premium to provide additional provision for swimming but this must be for activity over and above the national curriculum requirements. Have you used it in this way?</w:t>
            </w:r>
          </w:p>
        </w:tc>
        <w:tc>
          <w:tcPr>
            <w:tcW w:w="5098" w:type="dxa"/>
            <w:shd w:val="clear" w:color="auto" w:fill="215868" w:themeFill="accent5" w:themeFillShade="80"/>
            <w:tcMar>
              <w:top w:w="28" w:type="dxa"/>
              <w:bottom w:w="28" w:type="dxa"/>
            </w:tcMar>
            <w:vAlign w:val="center"/>
          </w:tcPr>
          <w:p w14:paraId="0C5F28F5" w14:textId="2333A599" w:rsidR="00EE25FD" w:rsidRPr="00C852A8" w:rsidRDefault="002B5030" w:rsidP="00A9544E">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YES</w:t>
            </w:r>
          </w:p>
        </w:tc>
      </w:tr>
    </w:tbl>
    <w:p w14:paraId="7A33AD8F" w14:textId="0F2431B6" w:rsidR="008B31FE" w:rsidRPr="00C852A8" w:rsidRDefault="008B31FE" w:rsidP="008B31FE">
      <w:pPr>
        <w:pStyle w:val="NormalWeb"/>
        <w:shd w:val="clear" w:color="auto" w:fill="FFFFFF"/>
        <w:spacing w:before="240" w:after="120" w:line="240" w:lineRule="auto"/>
        <w:jc w:val="both"/>
        <w:rPr>
          <w:rFonts w:ascii="Verdana" w:hAnsi="Verdana"/>
          <w:sz w:val="16"/>
          <w:szCs w:val="20"/>
          <w:lang w:val="en"/>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0"/>
        <w:gridCol w:w="4636"/>
        <w:gridCol w:w="2398"/>
        <w:gridCol w:w="5759"/>
      </w:tblGrid>
      <w:tr w:rsidR="008B31FE" w14:paraId="4CA22A2A" w14:textId="77777777" w:rsidTr="00F6790F">
        <w:trPr>
          <w:trHeight w:val="329"/>
        </w:trPr>
        <w:tc>
          <w:tcPr>
            <w:tcW w:w="2540" w:type="dxa"/>
            <w:shd w:val="clear" w:color="auto" w:fill="215868" w:themeFill="accent5" w:themeFillShade="80"/>
            <w:tcMar>
              <w:top w:w="28" w:type="dxa"/>
              <w:bottom w:w="28" w:type="dxa"/>
            </w:tcMar>
            <w:vAlign w:val="center"/>
          </w:tcPr>
          <w:p w14:paraId="2B964E59" w14:textId="10692E00" w:rsidR="008B31FE" w:rsidRPr="00EE25FD" w:rsidRDefault="008B31FE" w:rsidP="00A9544E">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member of staff responsible</w:t>
            </w:r>
            <w:r w:rsidR="00F6790F">
              <w:rPr>
                <w:rFonts w:ascii="Verdana" w:hAnsi="Verdana"/>
                <w:b/>
                <w:color w:val="C2D69B" w:themeColor="accent3" w:themeTint="99"/>
                <w:sz w:val="16"/>
                <w:szCs w:val="20"/>
                <w:lang w:val="en"/>
              </w:rPr>
              <w:t xml:space="preserve"> </w:t>
            </w:r>
          </w:p>
        </w:tc>
        <w:tc>
          <w:tcPr>
            <w:tcW w:w="4636" w:type="dxa"/>
            <w:tcBorders>
              <w:right w:val="single" w:sz="36" w:space="0" w:color="FFFFFF" w:themeColor="background1"/>
            </w:tcBorders>
            <w:shd w:val="clear" w:color="auto" w:fill="215868" w:themeFill="accent5" w:themeFillShade="80"/>
            <w:tcMar>
              <w:top w:w="28" w:type="dxa"/>
              <w:bottom w:w="28" w:type="dxa"/>
            </w:tcMar>
            <w:vAlign w:val="center"/>
          </w:tcPr>
          <w:p w14:paraId="40486880" w14:textId="41090D0C" w:rsidR="008B31FE" w:rsidRPr="00EE25FD" w:rsidRDefault="00E376B8" w:rsidP="00BE5472">
            <w:pPr>
              <w:pStyle w:val="NormalWeb"/>
              <w:spacing w:after="120" w:line="240" w:lineRule="auto"/>
              <w:rPr>
                <w:rFonts w:ascii="Verdana" w:hAnsi="Verdana"/>
                <w:b/>
                <w:color w:val="C2D69B" w:themeColor="accent3" w:themeTint="99"/>
                <w:sz w:val="16"/>
                <w:szCs w:val="20"/>
                <w:lang w:val="en"/>
              </w:rPr>
            </w:pPr>
            <w:proofErr w:type="spellStart"/>
            <w:r>
              <w:rPr>
                <w:rFonts w:ascii="Verdana" w:hAnsi="Verdana"/>
                <w:b/>
                <w:color w:val="C2D69B" w:themeColor="accent3" w:themeTint="99"/>
                <w:sz w:val="16"/>
                <w:szCs w:val="20"/>
                <w:lang w:val="en"/>
              </w:rPr>
              <w:t>Dr</w:t>
            </w:r>
            <w:proofErr w:type="spellEnd"/>
            <w:r>
              <w:rPr>
                <w:rFonts w:ascii="Verdana" w:hAnsi="Verdana"/>
                <w:b/>
                <w:color w:val="C2D69B" w:themeColor="accent3" w:themeTint="99"/>
                <w:sz w:val="16"/>
                <w:szCs w:val="20"/>
                <w:lang w:val="en"/>
              </w:rPr>
              <w:t xml:space="preserve"> Cook</w:t>
            </w:r>
          </w:p>
        </w:tc>
        <w:tc>
          <w:tcPr>
            <w:tcW w:w="2398" w:type="dxa"/>
            <w:tcBorders>
              <w:left w:val="single" w:sz="36" w:space="0" w:color="FFFFFF" w:themeColor="background1"/>
            </w:tcBorders>
            <w:shd w:val="clear" w:color="auto" w:fill="215868" w:themeFill="accent5" w:themeFillShade="80"/>
            <w:tcMar>
              <w:top w:w="28" w:type="dxa"/>
              <w:bottom w:w="28" w:type="dxa"/>
            </w:tcMar>
            <w:vAlign w:val="center"/>
          </w:tcPr>
          <w:p w14:paraId="34DDCADF" w14:textId="77777777"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Governor responsible</w:t>
            </w:r>
          </w:p>
        </w:tc>
        <w:tc>
          <w:tcPr>
            <w:tcW w:w="5759" w:type="dxa"/>
            <w:shd w:val="clear" w:color="auto" w:fill="215868" w:themeFill="accent5" w:themeFillShade="80"/>
            <w:vAlign w:val="center"/>
          </w:tcPr>
          <w:p w14:paraId="3BBC94B8" w14:textId="2284F5C1" w:rsidR="008B31FE" w:rsidRPr="00EE25FD" w:rsidRDefault="00971250"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 xml:space="preserve">Bob </w:t>
            </w:r>
            <w:proofErr w:type="spellStart"/>
            <w:r>
              <w:rPr>
                <w:rFonts w:ascii="Verdana" w:hAnsi="Verdana"/>
                <w:b/>
                <w:color w:val="C2D69B" w:themeColor="accent3" w:themeTint="99"/>
                <w:sz w:val="16"/>
                <w:szCs w:val="20"/>
                <w:lang w:val="en"/>
              </w:rPr>
              <w:t>Skillicorn</w:t>
            </w:r>
            <w:proofErr w:type="spellEnd"/>
          </w:p>
        </w:tc>
      </w:tr>
    </w:tbl>
    <w:p w14:paraId="4DF4E4F0" w14:textId="77777777" w:rsidR="00F6790F" w:rsidRDefault="00F6790F" w:rsidP="00F6790F">
      <w:pPr>
        <w:pStyle w:val="BodyText"/>
        <w:spacing w:before="30" w:after="18" w:line="235" w:lineRule="auto"/>
        <w:ind w:right="877"/>
        <w:rPr>
          <w:rFonts w:ascii="Verdana" w:hAnsi="Verdana"/>
          <w:b/>
          <w:color w:val="215868" w:themeColor="accent5" w:themeShade="80"/>
          <w:sz w:val="16"/>
          <w:szCs w:val="20"/>
          <w:lang w:val="en"/>
        </w:rPr>
      </w:pPr>
    </w:p>
    <w:p w14:paraId="3F0E1DD8" w14:textId="06DB5EC4" w:rsidR="003B1FE5" w:rsidRDefault="003B1FE5" w:rsidP="00F6790F">
      <w:pPr>
        <w:pStyle w:val="BodyText"/>
        <w:spacing w:before="30" w:after="18" w:line="235" w:lineRule="auto"/>
        <w:ind w:right="877"/>
        <w:rPr>
          <w:rFonts w:ascii="Verdana" w:eastAsia="Times New Roman" w:hAnsi="Verdana" w:cs="Times New Roman"/>
          <w:sz w:val="16"/>
          <w:szCs w:val="20"/>
          <w:lang w:val="en" w:eastAsia="en-GB"/>
        </w:rPr>
      </w:pPr>
    </w:p>
    <w:p w14:paraId="3E3D48F0" w14:textId="77777777" w:rsidR="003B1FE5" w:rsidRPr="00F6790F" w:rsidRDefault="003B1FE5" w:rsidP="00F6790F">
      <w:pPr>
        <w:pStyle w:val="BodyText"/>
        <w:spacing w:before="30" w:after="18" w:line="235" w:lineRule="auto"/>
        <w:ind w:right="877"/>
        <w:rPr>
          <w:rFonts w:ascii="Verdana" w:eastAsia="Times New Roman" w:hAnsi="Verdana" w:cs="Times New Roman"/>
          <w:sz w:val="16"/>
          <w:szCs w:val="20"/>
          <w:lang w:val="en" w:eastAsia="en-GB"/>
        </w:rPr>
      </w:pPr>
    </w:p>
    <w:tbl>
      <w:tblPr>
        <w:tblStyle w:val="TableGrid"/>
        <w:tblW w:w="14454" w:type="dxa"/>
        <w:tblLayout w:type="fixed"/>
        <w:tblLook w:val="04A0" w:firstRow="1" w:lastRow="0" w:firstColumn="1" w:lastColumn="0" w:noHBand="0" w:noVBand="1"/>
      </w:tblPr>
      <w:tblGrid>
        <w:gridCol w:w="3510"/>
        <w:gridCol w:w="5274"/>
        <w:gridCol w:w="1984"/>
        <w:gridCol w:w="3686"/>
      </w:tblGrid>
      <w:tr w:rsidR="00DB456B" w14:paraId="7ECC855A" w14:textId="77777777" w:rsidTr="00DB456B">
        <w:tc>
          <w:tcPr>
            <w:tcW w:w="3510" w:type="dxa"/>
            <w:shd w:val="clear" w:color="auto" w:fill="D9D9D9" w:themeFill="background1" w:themeFillShade="D9"/>
            <w:tcMar>
              <w:top w:w="28" w:type="dxa"/>
              <w:bottom w:w="28" w:type="dxa"/>
            </w:tcMar>
            <w:vAlign w:val="center"/>
          </w:tcPr>
          <w:p w14:paraId="2EB6175A" w14:textId="5EC69AE1" w:rsidR="00DB456B" w:rsidRDefault="00DB456B" w:rsidP="000D2C43">
            <w:pPr>
              <w:jc w:val="center"/>
              <w:rPr>
                <w:rFonts w:ascii="Verdana" w:hAnsi="Verdana"/>
                <w:b/>
                <w:color w:val="215868" w:themeColor="accent5" w:themeShade="80"/>
              </w:rPr>
            </w:pPr>
            <w:r w:rsidRPr="00EE25FD">
              <w:rPr>
                <w:rFonts w:ascii="Verdana" w:hAnsi="Verdana"/>
                <w:sz w:val="18"/>
                <w:szCs w:val="20"/>
                <w:lang w:val="en"/>
              </w:rPr>
              <w:br w:type="page"/>
            </w:r>
            <w:r>
              <w:rPr>
                <w:rFonts w:ascii="Verdana" w:hAnsi="Verdana"/>
                <w:b/>
              </w:rPr>
              <w:br w:type="page"/>
            </w:r>
            <w:r w:rsidRPr="00BB06B1">
              <w:rPr>
                <w:rFonts w:ascii="Verdana" w:hAnsi="Verdana"/>
                <w:b/>
                <w:color w:val="215868" w:themeColor="accent5" w:themeShade="80"/>
              </w:rPr>
              <w:t>Area of Focus</w:t>
            </w:r>
            <w:r>
              <w:rPr>
                <w:rFonts w:ascii="Verdana" w:hAnsi="Verdana"/>
                <w:b/>
                <w:color w:val="215868" w:themeColor="accent5" w:themeShade="80"/>
              </w:rPr>
              <w:t xml:space="preserve"> </w:t>
            </w:r>
          </w:p>
          <w:p w14:paraId="40AEA561" w14:textId="1624F408" w:rsidR="00DB456B" w:rsidRPr="00BB06B1" w:rsidRDefault="00DB456B" w:rsidP="000D2C43">
            <w:pPr>
              <w:jc w:val="center"/>
              <w:rPr>
                <w:rFonts w:ascii="Verdana" w:hAnsi="Verdana"/>
                <w:b/>
                <w:color w:val="215868" w:themeColor="accent5" w:themeShade="80"/>
              </w:rPr>
            </w:pPr>
            <w:r>
              <w:rPr>
                <w:rFonts w:ascii="Verdana" w:hAnsi="Verdana"/>
                <w:b/>
                <w:color w:val="215868" w:themeColor="accent5" w:themeShade="80"/>
              </w:rPr>
              <w:t>(Intent)</w:t>
            </w:r>
          </w:p>
        </w:tc>
        <w:tc>
          <w:tcPr>
            <w:tcW w:w="5274" w:type="dxa"/>
            <w:shd w:val="clear" w:color="auto" w:fill="D9D9D9" w:themeFill="background1" w:themeFillShade="D9"/>
            <w:tcMar>
              <w:top w:w="28" w:type="dxa"/>
              <w:bottom w:w="28" w:type="dxa"/>
            </w:tcMar>
            <w:vAlign w:val="center"/>
          </w:tcPr>
          <w:p w14:paraId="070B4579" w14:textId="04DCC03E" w:rsidR="00DB456B" w:rsidRPr="000F4C9D" w:rsidRDefault="00DB456B" w:rsidP="009B4BD3">
            <w:pPr>
              <w:jc w:val="center"/>
              <w:rPr>
                <w:rFonts w:ascii="Verdana" w:hAnsi="Verdana"/>
                <w:b/>
                <w:color w:val="215868" w:themeColor="accent5" w:themeShade="80"/>
              </w:rPr>
            </w:pPr>
            <w:r w:rsidRPr="000F4C9D">
              <w:rPr>
                <w:rFonts w:ascii="Verdana" w:hAnsi="Verdana"/>
                <w:b/>
                <w:color w:val="215868" w:themeColor="accent5" w:themeShade="80"/>
              </w:rPr>
              <w:t>Actions</w:t>
            </w:r>
            <w:r>
              <w:rPr>
                <w:rFonts w:ascii="Verdana" w:hAnsi="Verdana"/>
                <w:b/>
                <w:color w:val="215868" w:themeColor="accent5" w:themeShade="80"/>
              </w:rPr>
              <w:t xml:space="preserve"> (Implementation)</w:t>
            </w:r>
          </w:p>
          <w:p w14:paraId="5674E528" w14:textId="77777777" w:rsidR="00DB456B" w:rsidRPr="000F4C9D" w:rsidRDefault="00DB456B"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(Actions identified through self-review to improve the quality of provision)</w:t>
            </w:r>
          </w:p>
          <w:p w14:paraId="5D882431" w14:textId="77777777" w:rsidR="00DB456B" w:rsidRPr="000F4C9D" w:rsidRDefault="00DB456B"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complete / started / not yet started</w:t>
            </w:r>
          </w:p>
        </w:tc>
        <w:tc>
          <w:tcPr>
            <w:tcW w:w="1984" w:type="dxa"/>
            <w:shd w:val="clear" w:color="auto" w:fill="D9D9D9" w:themeFill="background1" w:themeFillShade="D9"/>
            <w:tcMar>
              <w:top w:w="28" w:type="dxa"/>
              <w:bottom w:w="28" w:type="dxa"/>
            </w:tcMar>
            <w:vAlign w:val="center"/>
          </w:tcPr>
          <w:p w14:paraId="4AE164E2" w14:textId="46FA8829" w:rsidR="00DB456B" w:rsidRPr="000F4C9D" w:rsidRDefault="00DB456B" w:rsidP="00DB456B">
            <w:pPr>
              <w:rPr>
                <w:rFonts w:ascii="Verdana" w:hAnsi="Verdana"/>
                <w:b/>
                <w:color w:val="215868" w:themeColor="accent5" w:themeShade="80"/>
              </w:rPr>
            </w:pPr>
            <w:r>
              <w:rPr>
                <w:rFonts w:ascii="Verdana" w:hAnsi="Verdana"/>
                <w:b/>
                <w:color w:val="215868" w:themeColor="accent5" w:themeShade="80"/>
              </w:rPr>
              <w:t>Fund</w:t>
            </w:r>
            <w:r w:rsidRPr="000F4C9D">
              <w:rPr>
                <w:rFonts w:ascii="Verdana" w:hAnsi="Verdana"/>
                <w:b/>
                <w:color w:val="215868" w:themeColor="accent5" w:themeShade="80"/>
              </w:rPr>
              <w:t>ing</w:t>
            </w:r>
          </w:p>
          <w:p w14:paraId="3B2CCB0C" w14:textId="3D8EB001" w:rsidR="00DB456B" w:rsidRPr="00A9544E" w:rsidRDefault="00DB456B" w:rsidP="00774AB8">
            <w:pPr>
              <w:spacing w:before="120"/>
              <w:rPr>
                <w:rFonts w:ascii="Verdana" w:hAnsi="Verdana"/>
                <w:color w:val="215868" w:themeColor="accent5" w:themeShade="80"/>
                <w:sz w:val="18"/>
                <w:szCs w:val="18"/>
              </w:rPr>
            </w:pPr>
            <w:r w:rsidRPr="00A9544E">
              <w:rPr>
                <w:rFonts w:ascii="Verdana" w:hAnsi="Verdana"/>
                <w:color w:val="215868" w:themeColor="accent5" w:themeShade="80"/>
                <w:sz w:val="18"/>
                <w:szCs w:val="18"/>
              </w:rPr>
              <w:t>- Actual spend 2021:</w:t>
            </w:r>
          </w:p>
        </w:tc>
        <w:tc>
          <w:tcPr>
            <w:tcW w:w="3686" w:type="dxa"/>
            <w:shd w:val="clear" w:color="auto" w:fill="D9D9D9" w:themeFill="background1" w:themeFillShade="D9"/>
            <w:tcMar>
              <w:top w:w="28" w:type="dxa"/>
              <w:bottom w:w="28" w:type="dxa"/>
            </w:tcMar>
            <w:vAlign w:val="center"/>
          </w:tcPr>
          <w:p w14:paraId="11B1C8C6" w14:textId="77777777" w:rsidR="00DB456B" w:rsidRDefault="00DB456B" w:rsidP="009B4BD3">
            <w:pPr>
              <w:jc w:val="center"/>
              <w:rPr>
                <w:rFonts w:ascii="Verdana" w:hAnsi="Verdana"/>
                <w:b/>
                <w:color w:val="215868" w:themeColor="accent5" w:themeShade="80"/>
              </w:rPr>
            </w:pPr>
          </w:p>
          <w:p w14:paraId="1FADFFE8" w14:textId="77777777" w:rsidR="00DB456B" w:rsidRDefault="00DB456B" w:rsidP="009B4BD3">
            <w:pPr>
              <w:jc w:val="center"/>
              <w:rPr>
                <w:rFonts w:ascii="Verdana" w:hAnsi="Verdana"/>
                <w:b/>
                <w:color w:val="215868" w:themeColor="accent5" w:themeShade="80"/>
              </w:rPr>
            </w:pPr>
          </w:p>
          <w:p w14:paraId="40765C5B" w14:textId="6C6FFF9C" w:rsidR="00DB456B" w:rsidRPr="00BB06B1" w:rsidRDefault="00DB456B" w:rsidP="009B4BD3">
            <w:pPr>
              <w:jc w:val="center"/>
              <w:rPr>
                <w:rFonts w:ascii="Verdana" w:hAnsi="Verdana"/>
                <w:b/>
                <w:color w:val="215868" w:themeColor="accent5" w:themeShade="80"/>
              </w:rPr>
            </w:pPr>
            <w:r w:rsidRPr="00BB06B1">
              <w:rPr>
                <w:rFonts w:ascii="Verdana" w:hAnsi="Verdana"/>
                <w:b/>
                <w:color w:val="215868" w:themeColor="accent5" w:themeShade="80"/>
              </w:rPr>
              <w:t>Impact</w:t>
            </w:r>
          </w:p>
          <w:p w14:paraId="17C1F676" w14:textId="77777777" w:rsidR="00DB456B" w:rsidRPr="00572CAB" w:rsidRDefault="00DB456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Pr>
                <w:rFonts w:ascii="Verdana" w:hAnsi="Verdana"/>
                <w:b/>
                <w:color w:val="215868" w:themeColor="accent5" w:themeShade="80"/>
                <w:sz w:val="18"/>
                <w:szCs w:val="18"/>
              </w:rPr>
              <w:t>participation</w:t>
            </w:r>
          </w:p>
          <w:p w14:paraId="0718D9D3" w14:textId="77777777" w:rsidR="00DB456B" w:rsidRPr="00572CAB" w:rsidRDefault="00DB456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Pr="00572CAB">
              <w:rPr>
                <w:rFonts w:ascii="Verdana" w:hAnsi="Verdana"/>
                <w:b/>
                <w:color w:val="215868" w:themeColor="accent5" w:themeShade="80"/>
                <w:sz w:val="18"/>
                <w:szCs w:val="18"/>
              </w:rPr>
              <w:t>attainment</w:t>
            </w:r>
          </w:p>
          <w:p w14:paraId="5F6915AB" w14:textId="77777777" w:rsidR="00DB456B" w:rsidRDefault="00DB456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-Any additional impact</w:t>
            </w:r>
          </w:p>
          <w:p w14:paraId="5D712CCB" w14:textId="472EE6A7" w:rsidR="00DB456B" w:rsidRPr="000D2CC2" w:rsidRDefault="00DB456B" w:rsidP="00FE4A55">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p>
        </w:tc>
      </w:tr>
      <w:tr w:rsidR="00DB456B" w14:paraId="6D2DB47D" w14:textId="77777777" w:rsidTr="00DB456B">
        <w:trPr>
          <w:trHeight w:val="2231"/>
        </w:trPr>
        <w:tc>
          <w:tcPr>
            <w:tcW w:w="3510" w:type="dxa"/>
            <w:shd w:val="clear" w:color="auto" w:fill="215868" w:themeFill="accent5" w:themeFillShade="80"/>
            <w:vAlign w:val="center"/>
          </w:tcPr>
          <w:p w14:paraId="28DF2F08" w14:textId="7B594D04" w:rsidR="00DB456B" w:rsidRPr="00FE4A55" w:rsidRDefault="00DB456B" w:rsidP="00EE25FD">
            <w:pPr>
              <w:spacing w:before="120"/>
              <w:jc w:val="center"/>
              <w:rPr>
                <w:rFonts w:ascii="Verdana" w:hAnsi="Verdana"/>
                <w:color w:val="C2D69B" w:themeColor="accent3" w:themeTint="99"/>
                <w:sz w:val="24"/>
                <w:szCs w:val="24"/>
              </w:rPr>
            </w:pPr>
            <w:r w:rsidRPr="00FE4A55">
              <w:rPr>
                <w:rFonts w:ascii="Verdana" w:hAnsi="Verdana"/>
                <w:bCs/>
                <w:color w:val="C2D69B" w:themeColor="accent3" w:themeTint="99"/>
                <w:sz w:val="24"/>
                <w:szCs w:val="24"/>
              </w:rPr>
              <w:lastRenderedPageBreak/>
              <w:t>The engagement of all pupils in regular physical activity</w:t>
            </w:r>
          </w:p>
        </w:tc>
        <w:tc>
          <w:tcPr>
            <w:tcW w:w="5274" w:type="dxa"/>
            <w:shd w:val="clear" w:color="auto" w:fill="auto"/>
            <w:tcMar>
              <w:top w:w="28" w:type="dxa"/>
              <w:bottom w:w="28" w:type="dxa"/>
            </w:tcMar>
          </w:tcPr>
          <w:p w14:paraId="151C1149" w14:textId="63A7DAA8" w:rsidR="00DB456B" w:rsidRDefault="00DB456B" w:rsidP="00A22A6F">
            <w:pPr>
              <w:rPr>
                <w:sz w:val="20"/>
                <w:szCs w:val="20"/>
              </w:rPr>
            </w:pPr>
          </w:p>
          <w:p w14:paraId="564A8F59" w14:textId="77777777" w:rsidR="00DB456B" w:rsidRDefault="00DB456B" w:rsidP="00A9544E">
            <w:pPr>
              <w:rPr>
                <w:sz w:val="20"/>
                <w:szCs w:val="20"/>
              </w:rPr>
            </w:pPr>
            <w:r w:rsidRPr="00273F4C">
              <w:rPr>
                <w:b/>
                <w:bCs/>
                <w:sz w:val="20"/>
                <w:szCs w:val="20"/>
              </w:rPr>
              <w:t>Real PE</w:t>
            </w:r>
            <w:r>
              <w:rPr>
                <w:b/>
                <w:bCs/>
                <w:sz w:val="20"/>
                <w:szCs w:val="20"/>
              </w:rPr>
              <w:t xml:space="preserve"> / Jasmin</w:t>
            </w:r>
            <w:r>
              <w:rPr>
                <w:sz w:val="20"/>
                <w:szCs w:val="20"/>
              </w:rPr>
              <w:t xml:space="preserve"> - purchased the “Real PE” Scheme to support the delivery of PE in school and the professional development of staff through online &amp; face to face CPD. - </w:t>
            </w:r>
            <w:hyperlink r:id="rId9" w:history="1">
              <w:r w:rsidRPr="00997E94">
                <w:rPr>
                  <w:rStyle w:val="Hyperlink"/>
                  <w:sz w:val="20"/>
                  <w:szCs w:val="20"/>
                </w:rPr>
                <w:t>https://www.createdevelopment.co.uk/</w:t>
              </w:r>
            </w:hyperlink>
            <w:r>
              <w:rPr>
                <w:sz w:val="20"/>
                <w:szCs w:val="20"/>
              </w:rPr>
              <w:t xml:space="preserve"> </w:t>
            </w:r>
          </w:p>
          <w:p w14:paraId="5752186F" w14:textId="630D9505" w:rsidR="00DB456B" w:rsidRDefault="00DB456B" w:rsidP="00A9544E">
            <w:pPr>
              <w:rPr>
                <w:sz w:val="20"/>
                <w:szCs w:val="20"/>
              </w:rPr>
            </w:pPr>
          </w:p>
          <w:p w14:paraId="41664348" w14:textId="0C9D87DA" w:rsidR="00DB456B" w:rsidRDefault="00DB456B" w:rsidP="00A9544E">
            <w:pPr>
              <w:rPr>
                <w:sz w:val="20"/>
                <w:szCs w:val="20"/>
              </w:rPr>
            </w:pPr>
          </w:p>
          <w:p w14:paraId="34294E79" w14:textId="5DC10715" w:rsidR="00DB456B" w:rsidRDefault="00DB456B" w:rsidP="00DA0475">
            <w:pPr>
              <w:rPr>
                <w:sz w:val="20"/>
                <w:szCs w:val="20"/>
              </w:rPr>
            </w:pPr>
            <w:r>
              <w:rPr>
                <w:b/>
                <w:sz w:val="20"/>
                <w:szCs w:val="20"/>
              </w:rPr>
              <w:t>Development of the Sports Academy.</w:t>
            </w:r>
            <w:r w:rsidRPr="001D0CE1">
              <w:rPr>
                <w:b/>
                <w:sz w:val="20"/>
                <w:szCs w:val="20"/>
              </w:rPr>
              <w:t xml:space="preserve"> </w:t>
            </w:r>
            <w:r w:rsidRPr="00E376B8">
              <w:rPr>
                <w:sz w:val="20"/>
                <w:szCs w:val="20"/>
              </w:rPr>
              <w:t xml:space="preserve">This is </w:t>
            </w:r>
            <w:r>
              <w:rPr>
                <w:sz w:val="20"/>
                <w:szCs w:val="20"/>
              </w:rPr>
              <w:t xml:space="preserve">for the establishment of a high profile, </w:t>
            </w:r>
            <w:proofErr w:type="spellStart"/>
            <w:r w:rsidRPr="00E376B8">
              <w:rPr>
                <w:sz w:val="20"/>
                <w:szCs w:val="20"/>
              </w:rPr>
              <w:t>extra curricular</w:t>
            </w:r>
            <w:proofErr w:type="spellEnd"/>
            <w:r w:rsidRPr="00E376B8">
              <w:rPr>
                <w:sz w:val="20"/>
                <w:szCs w:val="20"/>
              </w:rPr>
              <w:t xml:space="preserve"> activity</w:t>
            </w:r>
            <w:r>
              <w:rPr>
                <w:sz w:val="20"/>
                <w:szCs w:val="20"/>
              </w:rPr>
              <w:t xml:space="preserve"> programme.  This includes:</w:t>
            </w:r>
          </w:p>
          <w:p w14:paraId="790F62A1" w14:textId="77777777" w:rsidR="00DB456B" w:rsidRDefault="00DB456B" w:rsidP="00DA0475">
            <w:pPr>
              <w:pStyle w:val="ListParagraph"/>
              <w:numPr>
                <w:ilvl w:val="0"/>
                <w:numId w:val="14"/>
              </w:numPr>
              <w:rPr>
                <w:sz w:val="20"/>
                <w:szCs w:val="20"/>
              </w:rPr>
            </w:pPr>
            <w:r>
              <w:rPr>
                <w:sz w:val="20"/>
                <w:szCs w:val="20"/>
              </w:rPr>
              <w:t>In house football training</w:t>
            </w:r>
          </w:p>
          <w:p w14:paraId="7CB52F1C" w14:textId="1288C9ED" w:rsidR="00DB456B" w:rsidRPr="00246ABC" w:rsidRDefault="00DB456B" w:rsidP="00246ABC">
            <w:pPr>
              <w:pStyle w:val="ListParagraph"/>
              <w:numPr>
                <w:ilvl w:val="0"/>
                <w:numId w:val="14"/>
              </w:numPr>
              <w:rPr>
                <w:sz w:val="20"/>
                <w:szCs w:val="20"/>
              </w:rPr>
            </w:pPr>
            <w:r>
              <w:rPr>
                <w:sz w:val="20"/>
                <w:szCs w:val="20"/>
              </w:rPr>
              <w:t>Specialist provision by</w:t>
            </w:r>
            <w:r w:rsidRPr="00DA0475">
              <w:rPr>
                <w:sz w:val="20"/>
                <w:szCs w:val="20"/>
              </w:rPr>
              <w:t xml:space="preserve"> Plymouth Argyle FC</w:t>
            </w:r>
            <w:r>
              <w:rPr>
                <w:sz w:val="20"/>
                <w:szCs w:val="20"/>
              </w:rPr>
              <w:t xml:space="preserve">; </w:t>
            </w:r>
            <w:r w:rsidRPr="00246ABC">
              <w:rPr>
                <w:sz w:val="20"/>
                <w:szCs w:val="20"/>
              </w:rPr>
              <w:t>Exeter Chiefs RFC;</w:t>
            </w:r>
            <w:r>
              <w:rPr>
                <w:sz w:val="20"/>
                <w:szCs w:val="20"/>
              </w:rPr>
              <w:t xml:space="preserve"> </w:t>
            </w:r>
            <w:proofErr w:type="spellStart"/>
            <w:r w:rsidRPr="00246ABC">
              <w:rPr>
                <w:sz w:val="20"/>
                <w:szCs w:val="20"/>
              </w:rPr>
              <w:t>Kazoku</w:t>
            </w:r>
            <w:proofErr w:type="spellEnd"/>
            <w:r w:rsidRPr="00246ABC">
              <w:rPr>
                <w:sz w:val="20"/>
                <w:szCs w:val="20"/>
              </w:rPr>
              <w:t xml:space="preserve"> Judo Club </w:t>
            </w:r>
            <w:r>
              <w:rPr>
                <w:sz w:val="20"/>
                <w:szCs w:val="20"/>
              </w:rPr>
              <w:t xml:space="preserve">and </w:t>
            </w:r>
            <w:r w:rsidRPr="00246ABC">
              <w:rPr>
                <w:sz w:val="20"/>
                <w:szCs w:val="20"/>
              </w:rPr>
              <w:t xml:space="preserve">our Dancer-in-Residence, Rob </w:t>
            </w:r>
            <w:proofErr w:type="spellStart"/>
            <w:r w:rsidRPr="00246ABC">
              <w:rPr>
                <w:sz w:val="20"/>
                <w:szCs w:val="20"/>
              </w:rPr>
              <w:t>Menaar</w:t>
            </w:r>
            <w:proofErr w:type="spellEnd"/>
            <w:r w:rsidRPr="00246ABC">
              <w:rPr>
                <w:sz w:val="20"/>
                <w:szCs w:val="20"/>
              </w:rPr>
              <w:t>.</w:t>
            </w:r>
          </w:p>
          <w:p w14:paraId="185DA058" w14:textId="1876ADC2" w:rsidR="00DB456B" w:rsidRDefault="00DB456B" w:rsidP="00DA0475">
            <w:pPr>
              <w:pStyle w:val="ListParagraph"/>
              <w:numPr>
                <w:ilvl w:val="0"/>
                <w:numId w:val="14"/>
              </w:numPr>
              <w:rPr>
                <w:sz w:val="20"/>
                <w:szCs w:val="20"/>
              </w:rPr>
            </w:pPr>
            <w:r>
              <w:rPr>
                <w:sz w:val="20"/>
                <w:szCs w:val="20"/>
              </w:rPr>
              <w:t>In house cycling club;</w:t>
            </w:r>
          </w:p>
          <w:p w14:paraId="1BF49FDB" w14:textId="77FFFF78" w:rsidR="00DB456B" w:rsidRDefault="00DB456B" w:rsidP="00DA0475">
            <w:pPr>
              <w:pStyle w:val="ListParagraph"/>
              <w:numPr>
                <w:ilvl w:val="0"/>
                <w:numId w:val="14"/>
              </w:numPr>
              <w:rPr>
                <w:sz w:val="20"/>
                <w:szCs w:val="20"/>
              </w:rPr>
            </w:pPr>
            <w:r>
              <w:rPr>
                <w:sz w:val="20"/>
                <w:szCs w:val="20"/>
              </w:rPr>
              <w:t>In house running club;</w:t>
            </w:r>
          </w:p>
          <w:p w14:paraId="26CE4AA7" w14:textId="77777777" w:rsidR="00DB456B" w:rsidRDefault="00DB456B" w:rsidP="00DA0475">
            <w:pPr>
              <w:pStyle w:val="ListParagraph"/>
              <w:numPr>
                <w:ilvl w:val="0"/>
                <w:numId w:val="14"/>
              </w:numPr>
              <w:rPr>
                <w:sz w:val="20"/>
                <w:szCs w:val="20"/>
              </w:rPr>
            </w:pPr>
            <w:r>
              <w:rPr>
                <w:sz w:val="20"/>
                <w:szCs w:val="20"/>
              </w:rPr>
              <w:t>P</w:t>
            </w:r>
            <w:r w:rsidRPr="00DA0475">
              <w:rPr>
                <w:sz w:val="20"/>
                <w:szCs w:val="20"/>
              </w:rPr>
              <w:t>urchase of appropriate sporting clothes for participating children.</w:t>
            </w:r>
          </w:p>
          <w:p w14:paraId="397C4A54" w14:textId="24B746C4" w:rsidR="00DB456B" w:rsidRPr="00D95076" w:rsidRDefault="00DB456B" w:rsidP="00D95076">
            <w:pPr>
              <w:rPr>
                <w:sz w:val="20"/>
                <w:szCs w:val="20"/>
              </w:rPr>
            </w:pPr>
          </w:p>
        </w:tc>
        <w:tc>
          <w:tcPr>
            <w:tcW w:w="1984" w:type="dxa"/>
            <w:shd w:val="clear" w:color="auto" w:fill="auto"/>
            <w:tcMar>
              <w:top w:w="28" w:type="dxa"/>
              <w:bottom w:w="28" w:type="dxa"/>
            </w:tcMar>
          </w:tcPr>
          <w:p w14:paraId="3848CD7E" w14:textId="77777777" w:rsidR="00DB456B" w:rsidRDefault="00DB456B" w:rsidP="00DD5870">
            <w:pPr>
              <w:rPr>
                <w:sz w:val="20"/>
                <w:szCs w:val="20"/>
              </w:rPr>
            </w:pPr>
          </w:p>
          <w:p w14:paraId="12F32D11" w14:textId="77777777" w:rsidR="00DB456B" w:rsidRDefault="00DB456B" w:rsidP="00DD5870">
            <w:pPr>
              <w:rPr>
                <w:sz w:val="20"/>
                <w:szCs w:val="20"/>
              </w:rPr>
            </w:pPr>
            <w:r>
              <w:rPr>
                <w:sz w:val="20"/>
                <w:szCs w:val="20"/>
              </w:rPr>
              <w:t>£495 (programme)</w:t>
            </w:r>
          </w:p>
          <w:p w14:paraId="2EC6B520" w14:textId="77777777" w:rsidR="00DB456B" w:rsidRDefault="00DB456B" w:rsidP="00DD5870">
            <w:pPr>
              <w:rPr>
                <w:sz w:val="20"/>
                <w:szCs w:val="20"/>
              </w:rPr>
            </w:pPr>
          </w:p>
          <w:p w14:paraId="0774175D" w14:textId="77777777" w:rsidR="00DB456B" w:rsidRDefault="00DB456B" w:rsidP="00DD5870">
            <w:pPr>
              <w:rPr>
                <w:sz w:val="20"/>
                <w:szCs w:val="20"/>
              </w:rPr>
            </w:pPr>
          </w:p>
          <w:p w14:paraId="20424013" w14:textId="77777777" w:rsidR="00DB456B" w:rsidRDefault="00DB456B" w:rsidP="00DD5870">
            <w:pPr>
              <w:rPr>
                <w:sz w:val="20"/>
                <w:szCs w:val="20"/>
              </w:rPr>
            </w:pPr>
          </w:p>
          <w:p w14:paraId="6335B306" w14:textId="198ABB8D" w:rsidR="00DB456B" w:rsidRDefault="00DB456B" w:rsidP="00DD5870">
            <w:pPr>
              <w:rPr>
                <w:sz w:val="20"/>
                <w:szCs w:val="20"/>
              </w:rPr>
            </w:pPr>
          </w:p>
          <w:p w14:paraId="111939C7" w14:textId="77777777" w:rsidR="00DB456B" w:rsidRDefault="00DB456B" w:rsidP="00DD5870">
            <w:pPr>
              <w:rPr>
                <w:sz w:val="20"/>
                <w:szCs w:val="20"/>
              </w:rPr>
            </w:pPr>
          </w:p>
          <w:p w14:paraId="1CCD2040" w14:textId="20BC2F19" w:rsidR="00DB456B" w:rsidRDefault="00DB456B" w:rsidP="00DD5870">
            <w:pPr>
              <w:rPr>
                <w:sz w:val="20"/>
                <w:szCs w:val="20"/>
              </w:rPr>
            </w:pPr>
          </w:p>
          <w:p w14:paraId="70CFED04" w14:textId="47ECEB70" w:rsidR="00DB456B" w:rsidRPr="005D4B27" w:rsidRDefault="00DB456B" w:rsidP="00DA0475">
            <w:pPr>
              <w:rPr>
                <w:sz w:val="20"/>
                <w:szCs w:val="20"/>
              </w:rPr>
            </w:pPr>
            <w:r>
              <w:rPr>
                <w:sz w:val="20"/>
                <w:szCs w:val="20"/>
              </w:rPr>
              <w:t>£24902</w:t>
            </w:r>
          </w:p>
        </w:tc>
        <w:tc>
          <w:tcPr>
            <w:tcW w:w="3686" w:type="dxa"/>
            <w:tcMar>
              <w:top w:w="28" w:type="dxa"/>
              <w:bottom w:w="28" w:type="dxa"/>
            </w:tcMar>
          </w:tcPr>
          <w:p w14:paraId="0DE417F1" w14:textId="6EBC8879" w:rsidR="00DB456B" w:rsidRDefault="00971250" w:rsidP="00971250">
            <w:pPr>
              <w:rPr>
                <w:i/>
                <w:sz w:val="20"/>
                <w:szCs w:val="20"/>
              </w:rPr>
            </w:pPr>
            <w:r w:rsidRPr="00D95076">
              <w:rPr>
                <w:i/>
                <w:sz w:val="20"/>
                <w:szCs w:val="20"/>
              </w:rPr>
              <w:t xml:space="preserve">In 2022/23 this programme provided a high quality, structured programme for PE teaching in the school. </w:t>
            </w:r>
          </w:p>
          <w:p w14:paraId="51CC86B6" w14:textId="2E58DE97" w:rsidR="00FF2267" w:rsidRDefault="00FF2267" w:rsidP="00971250">
            <w:pPr>
              <w:rPr>
                <w:i/>
                <w:sz w:val="20"/>
                <w:szCs w:val="20"/>
              </w:rPr>
            </w:pPr>
          </w:p>
          <w:p w14:paraId="226024F8" w14:textId="5D76F6F6" w:rsidR="00FF2267" w:rsidRDefault="00FF2267" w:rsidP="00971250">
            <w:pPr>
              <w:rPr>
                <w:i/>
                <w:sz w:val="20"/>
                <w:szCs w:val="20"/>
              </w:rPr>
            </w:pPr>
          </w:p>
          <w:p w14:paraId="37ED3666" w14:textId="224CCAA3" w:rsidR="00FF2267" w:rsidRDefault="00FF2267" w:rsidP="00971250">
            <w:pPr>
              <w:rPr>
                <w:i/>
                <w:sz w:val="20"/>
                <w:szCs w:val="20"/>
              </w:rPr>
            </w:pPr>
          </w:p>
          <w:p w14:paraId="7706920C" w14:textId="521DD776" w:rsidR="00FF2267" w:rsidRDefault="00FF2267" w:rsidP="00971250">
            <w:pPr>
              <w:rPr>
                <w:i/>
                <w:sz w:val="20"/>
                <w:szCs w:val="20"/>
              </w:rPr>
            </w:pPr>
          </w:p>
          <w:p w14:paraId="5DDFA282" w14:textId="3F0BBBCE" w:rsidR="00FF2267" w:rsidRPr="00D95076" w:rsidRDefault="00832BD6" w:rsidP="00971250">
            <w:pPr>
              <w:rPr>
                <w:i/>
                <w:sz w:val="20"/>
                <w:szCs w:val="20"/>
              </w:rPr>
            </w:pPr>
            <w:r>
              <w:rPr>
                <w:i/>
                <w:sz w:val="20"/>
                <w:szCs w:val="20"/>
              </w:rPr>
              <w:t xml:space="preserve">43% of eligible children have participated in one aspect of Sports Academy provision.  This includes PP numbers broadly in line with school average i.e. 26%.  The provision of training has been excellent, although consistency </w:t>
            </w:r>
            <w:proofErr w:type="spellStart"/>
            <w:r>
              <w:rPr>
                <w:i/>
                <w:sz w:val="20"/>
                <w:szCs w:val="20"/>
              </w:rPr>
              <w:t>conens</w:t>
            </w:r>
            <w:proofErr w:type="spellEnd"/>
            <w:r>
              <w:rPr>
                <w:i/>
                <w:sz w:val="20"/>
                <w:szCs w:val="20"/>
              </w:rPr>
              <w:t xml:space="preserve"> with Plymouth Argyle FC have led us to use Exeter Chiefs RFC for both rugby and football provision in 2023/24</w:t>
            </w:r>
            <w:bookmarkStart w:id="0" w:name="_GoBack"/>
            <w:bookmarkEnd w:id="0"/>
            <w:r>
              <w:rPr>
                <w:i/>
                <w:sz w:val="20"/>
                <w:szCs w:val="20"/>
              </w:rPr>
              <w:t>.</w:t>
            </w:r>
          </w:p>
          <w:p w14:paraId="310358AA" w14:textId="77777777" w:rsidR="00971250" w:rsidRDefault="00971250" w:rsidP="00971250">
            <w:pPr>
              <w:rPr>
                <w:sz w:val="20"/>
                <w:szCs w:val="20"/>
              </w:rPr>
            </w:pPr>
          </w:p>
          <w:p w14:paraId="423F692C" w14:textId="77777777" w:rsidR="00971250" w:rsidRDefault="00971250" w:rsidP="00971250">
            <w:pPr>
              <w:rPr>
                <w:sz w:val="20"/>
                <w:szCs w:val="20"/>
              </w:rPr>
            </w:pPr>
          </w:p>
          <w:p w14:paraId="0102FACD" w14:textId="77777777" w:rsidR="00971250" w:rsidRDefault="00971250" w:rsidP="00971250">
            <w:pPr>
              <w:rPr>
                <w:sz w:val="20"/>
                <w:szCs w:val="20"/>
              </w:rPr>
            </w:pPr>
          </w:p>
          <w:p w14:paraId="6E6B5456" w14:textId="77777777" w:rsidR="00971250" w:rsidRDefault="00971250" w:rsidP="00971250">
            <w:pPr>
              <w:rPr>
                <w:sz w:val="20"/>
                <w:szCs w:val="20"/>
              </w:rPr>
            </w:pPr>
          </w:p>
          <w:p w14:paraId="73C4A7F0" w14:textId="6A5C3508" w:rsidR="00971250" w:rsidRPr="00962E4B" w:rsidRDefault="00971250" w:rsidP="00971250">
            <w:pPr>
              <w:rPr>
                <w:sz w:val="20"/>
                <w:szCs w:val="20"/>
              </w:rPr>
            </w:pPr>
          </w:p>
        </w:tc>
      </w:tr>
      <w:tr w:rsidR="00DB456B" w14:paraId="4F1E9662" w14:textId="77777777" w:rsidTr="00DB456B">
        <w:trPr>
          <w:trHeight w:val="2489"/>
        </w:trPr>
        <w:tc>
          <w:tcPr>
            <w:tcW w:w="3510" w:type="dxa"/>
            <w:shd w:val="clear" w:color="auto" w:fill="215868" w:themeFill="accent5" w:themeFillShade="80"/>
            <w:vAlign w:val="center"/>
          </w:tcPr>
          <w:p w14:paraId="1FD2A4A5" w14:textId="27E03D8C" w:rsidR="00DB456B" w:rsidRPr="00FE4A55" w:rsidRDefault="00DB456B" w:rsidP="0018025A">
            <w:pPr>
              <w:spacing w:before="120"/>
              <w:jc w:val="center"/>
              <w:rPr>
                <w:rFonts w:ascii="Verdana" w:hAnsi="Verdana"/>
                <w:color w:val="C2D69B" w:themeColor="accent3" w:themeTint="99"/>
                <w:sz w:val="24"/>
                <w:szCs w:val="24"/>
              </w:rPr>
            </w:pPr>
            <w:r w:rsidRPr="00FE4A55">
              <w:rPr>
                <w:rFonts w:ascii="Verdana" w:hAnsi="Verdana"/>
                <w:bCs/>
                <w:color w:val="C2D69B" w:themeColor="accent3" w:themeTint="99"/>
                <w:sz w:val="24"/>
                <w:szCs w:val="24"/>
              </w:rPr>
              <w:t>Increased confidence, knowledge and skills of all staff in teaching PE and sport</w:t>
            </w:r>
          </w:p>
        </w:tc>
        <w:tc>
          <w:tcPr>
            <w:tcW w:w="5274" w:type="dxa"/>
            <w:shd w:val="clear" w:color="auto" w:fill="auto"/>
            <w:tcMar>
              <w:top w:w="28" w:type="dxa"/>
              <w:bottom w:w="28" w:type="dxa"/>
            </w:tcMar>
            <w:vAlign w:val="center"/>
          </w:tcPr>
          <w:p w14:paraId="6F031FFC" w14:textId="7BBA3986" w:rsidR="00DB456B" w:rsidRPr="00DD5870" w:rsidRDefault="00DB456B" w:rsidP="00246ABC">
            <w:pPr>
              <w:rPr>
                <w:sz w:val="20"/>
                <w:szCs w:val="20"/>
              </w:rPr>
            </w:pPr>
            <w:r>
              <w:rPr>
                <w:b/>
                <w:sz w:val="20"/>
                <w:szCs w:val="20"/>
              </w:rPr>
              <w:t>Central Servic</w:t>
            </w:r>
            <w:r w:rsidRPr="00FE4A55">
              <w:rPr>
                <w:b/>
                <w:sz w:val="20"/>
                <w:szCs w:val="20"/>
              </w:rPr>
              <w:t>e Charge</w:t>
            </w:r>
            <w:r>
              <w:rPr>
                <w:sz w:val="20"/>
                <w:szCs w:val="20"/>
              </w:rPr>
              <w:t xml:space="preserve"> – provision of centralised lead teacher to support the development of PE colleagues.</w:t>
            </w:r>
          </w:p>
        </w:tc>
        <w:tc>
          <w:tcPr>
            <w:tcW w:w="1984" w:type="dxa"/>
            <w:shd w:val="clear" w:color="auto" w:fill="auto"/>
            <w:tcMar>
              <w:top w:w="28" w:type="dxa"/>
              <w:bottom w:w="28" w:type="dxa"/>
            </w:tcMar>
          </w:tcPr>
          <w:p w14:paraId="4F65578B" w14:textId="77777777" w:rsidR="00DB456B" w:rsidRDefault="00DB456B" w:rsidP="0018025A">
            <w:pPr>
              <w:rPr>
                <w:sz w:val="20"/>
                <w:szCs w:val="20"/>
              </w:rPr>
            </w:pPr>
          </w:p>
          <w:p w14:paraId="07FAEEE7" w14:textId="77777777" w:rsidR="00DB456B" w:rsidRDefault="00DB456B" w:rsidP="0018025A">
            <w:pPr>
              <w:rPr>
                <w:sz w:val="20"/>
                <w:szCs w:val="20"/>
              </w:rPr>
            </w:pPr>
          </w:p>
          <w:p w14:paraId="1A5D903C" w14:textId="77777777" w:rsidR="00DB456B" w:rsidRDefault="00DB456B" w:rsidP="0018025A">
            <w:pPr>
              <w:rPr>
                <w:sz w:val="20"/>
                <w:szCs w:val="20"/>
              </w:rPr>
            </w:pPr>
          </w:p>
          <w:p w14:paraId="636EB04B" w14:textId="77777777" w:rsidR="00DB456B" w:rsidRDefault="00DB456B" w:rsidP="0018025A">
            <w:pPr>
              <w:rPr>
                <w:sz w:val="20"/>
                <w:szCs w:val="20"/>
              </w:rPr>
            </w:pPr>
          </w:p>
          <w:p w14:paraId="65EF02C7" w14:textId="12731163" w:rsidR="00DB456B" w:rsidRPr="00962E4B" w:rsidRDefault="00DB456B" w:rsidP="0018025A">
            <w:pPr>
              <w:rPr>
                <w:sz w:val="20"/>
                <w:szCs w:val="20"/>
              </w:rPr>
            </w:pPr>
            <w:r>
              <w:rPr>
                <w:sz w:val="20"/>
                <w:szCs w:val="20"/>
              </w:rPr>
              <w:t>£1000</w:t>
            </w:r>
          </w:p>
        </w:tc>
        <w:tc>
          <w:tcPr>
            <w:tcW w:w="3686" w:type="dxa"/>
            <w:tcMar>
              <w:top w:w="28" w:type="dxa"/>
              <w:bottom w:w="28" w:type="dxa"/>
            </w:tcMar>
          </w:tcPr>
          <w:p w14:paraId="0D9F13EE" w14:textId="77777777" w:rsidR="00080EFF" w:rsidRPr="00D95076" w:rsidRDefault="00080EFF" w:rsidP="00080EFF">
            <w:pPr>
              <w:rPr>
                <w:i/>
                <w:sz w:val="20"/>
                <w:szCs w:val="20"/>
              </w:rPr>
            </w:pPr>
            <w:r w:rsidRPr="00D95076">
              <w:rPr>
                <w:i/>
                <w:sz w:val="20"/>
                <w:szCs w:val="20"/>
              </w:rPr>
              <w:t>In 2022/23 this service has been useful. Various services were provided:</w:t>
            </w:r>
          </w:p>
          <w:p w14:paraId="49991D87" w14:textId="77777777" w:rsidR="00080EFF" w:rsidRPr="00D95076" w:rsidRDefault="00080EFF" w:rsidP="00080EFF">
            <w:pPr>
              <w:pStyle w:val="ListParagraph"/>
              <w:numPr>
                <w:ilvl w:val="0"/>
                <w:numId w:val="15"/>
              </w:numPr>
              <w:rPr>
                <w:i/>
                <w:sz w:val="20"/>
                <w:szCs w:val="20"/>
              </w:rPr>
            </w:pPr>
            <w:r w:rsidRPr="00D95076">
              <w:rPr>
                <w:i/>
                <w:sz w:val="20"/>
                <w:szCs w:val="20"/>
              </w:rPr>
              <w:t xml:space="preserve">16 Year 6 children were trained in Sports Leaders in order to support playground activities for other children. </w:t>
            </w:r>
          </w:p>
          <w:p w14:paraId="70308BBB" w14:textId="77777777" w:rsidR="00080EFF" w:rsidRPr="00D95076" w:rsidRDefault="00080EFF" w:rsidP="00080EFF">
            <w:pPr>
              <w:pStyle w:val="ListParagraph"/>
              <w:numPr>
                <w:ilvl w:val="0"/>
                <w:numId w:val="15"/>
              </w:numPr>
              <w:rPr>
                <w:i/>
                <w:sz w:val="20"/>
                <w:szCs w:val="20"/>
              </w:rPr>
            </w:pPr>
            <w:r w:rsidRPr="00D95076">
              <w:rPr>
                <w:i/>
                <w:sz w:val="20"/>
                <w:szCs w:val="20"/>
              </w:rPr>
              <w:t>Organisation of an athletics tournament at the end of the year for children.</w:t>
            </w:r>
          </w:p>
          <w:p w14:paraId="1D4A6C6E" w14:textId="2013AAA1" w:rsidR="00080EFF" w:rsidRPr="00080EFF" w:rsidRDefault="00080EFF" w:rsidP="00080EFF">
            <w:pPr>
              <w:pStyle w:val="ListParagraph"/>
              <w:numPr>
                <w:ilvl w:val="0"/>
                <w:numId w:val="15"/>
              </w:numPr>
              <w:rPr>
                <w:sz w:val="20"/>
                <w:szCs w:val="20"/>
              </w:rPr>
            </w:pPr>
            <w:r w:rsidRPr="00D95076">
              <w:rPr>
                <w:i/>
                <w:sz w:val="20"/>
                <w:szCs w:val="20"/>
              </w:rPr>
              <w:t>Consultancy service to PE lead for ensuring a structured curriculum.</w:t>
            </w:r>
            <w:r w:rsidRPr="00080EFF">
              <w:rPr>
                <w:sz w:val="20"/>
                <w:szCs w:val="20"/>
              </w:rPr>
              <w:t xml:space="preserve"> </w:t>
            </w:r>
          </w:p>
        </w:tc>
      </w:tr>
      <w:tr w:rsidR="00DB456B" w14:paraId="42D74D5C" w14:textId="77777777" w:rsidTr="00DB456B">
        <w:tc>
          <w:tcPr>
            <w:tcW w:w="3510" w:type="dxa"/>
            <w:shd w:val="clear" w:color="auto" w:fill="215868" w:themeFill="accent5" w:themeFillShade="80"/>
            <w:vAlign w:val="center"/>
          </w:tcPr>
          <w:p w14:paraId="26E67DF8" w14:textId="51E79E07" w:rsidR="00DB456B" w:rsidRPr="00FE4A55" w:rsidRDefault="00DB456B" w:rsidP="0038611B">
            <w:pPr>
              <w:spacing w:before="120"/>
              <w:jc w:val="center"/>
              <w:rPr>
                <w:rFonts w:ascii="Verdana" w:hAnsi="Verdana"/>
                <w:color w:val="C2D69B" w:themeColor="accent3" w:themeTint="99"/>
                <w:sz w:val="24"/>
                <w:szCs w:val="24"/>
              </w:rPr>
            </w:pPr>
            <w:r w:rsidRPr="00FE4A55">
              <w:rPr>
                <w:rFonts w:ascii="Verdana" w:hAnsi="Verdana"/>
                <w:color w:val="C2D69B" w:themeColor="accent3" w:themeTint="99"/>
                <w:sz w:val="24"/>
                <w:szCs w:val="24"/>
              </w:rPr>
              <w:lastRenderedPageBreak/>
              <w:t>Broader experience of a range of sports and activities offered to all pupils</w:t>
            </w:r>
          </w:p>
        </w:tc>
        <w:tc>
          <w:tcPr>
            <w:tcW w:w="5274" w:type="dxa"/>
            <w:shd w:val="clear" w:color="auto" w:fill="auto"/>
            <w:tcMar>
              <w:top w:w="28" w:type="dxa"/>
              <w:bottom w:w="28" w:type="dxa"/>
            </w:tcMar>
          </w:tcPr>
          <w:p w14:paraId="4F4F3E56" w14:textId="77777777" w:rsidR="00DB456B" w:rsidRDefault="00DB456B" w:rsidP="0038611B">
            <w:pPr>
              <w:rPr>
                <w:sz w:val="20"/>
                <w:szCs w:val="20"/>
              </w:rPr>
            </w:pPr>
          </w:p>
          <w:p w14:paraId="4E4444FD" w14:textId="535EC00F" w:rsidR="00DB456B" w:rsidRDefault="00DB456B" w:rsidP="0038611B">
            <w:pPr>
              <w:rPr>
                <w:sz w:val="20"/>
                <w:szCs w:val="20"/>
              </w:rPr>
            </w:pPr>
            <w:r w:rsidRPr="0038611B">
              <w:rPr>
                <w:b/>
                <w:sz w:val="20"/>
                <w:szCs w:val="20"/>
              </w:rPr>
              <w:t>Purchase of equipment</w:t>
            </w:r>
            <w:r>
              <w:rPr>
                <w:sz w:val="20"/>
                <w:szCs w:val="20"/>
              </w:rPr>
              <w:t xml:space="preserve"> – to provide replacement consumable equipment for current sports.</w:t>
            </w:r>
          </w:p>
          <w:p w14:paraId="2274C69C" w14:textId="606EFAD8" w:rsidR="00DB456B" w:rsidRDefault="00DB456B" w:rsidP="0038611B">
            <w:pPr>
              <w:rPr>
                <w:sz w:val="20"/>
                <w:szCs w:val="20"/>
              </w:rPr>
            </w:pPr>
          </w:p>
          <w:p w14:paraId="537B2E43" w14:textId="401E0221" w:rsidR="00DB456B" w:rsidRDefault="00DB456B" w:rsidP="0038611B">
            <w:pPr>
              <w:rPr>
                <w:sz w:val="20"/>
                <w:szCs w:val="20"/>
              </w:rPr>
            </w:pPr>
            <w:r w:rsidRPr="00E55EE6">
              <w:rPr>
                <w:b/>
                <w:sz w:val="20"/>
                <w:szCs w:val="20"/>
              </w:rPr>
              <w:t>Additional swimming lessons</w:t>
            </w:r>
            <w:r>
              <w:rPr>
                <w:sz w:val="20"/>
                <w:szCs w:val="20"/>
              </w:rPr>
              <w:t xml:space="preserve"> – to support year 6 who in previous years have benefited from three intensive weeks (1 week for each class, plus an additional week for those in need of achieving 25metre standards)</w:t>
            </w:r>
          </w:p>
          <w:p w14:paraId="737B53AE" w14:textId="2DF14DE1" w:rsidR="00DB456B" w:rsidRPr="00DD5870" w:rsidRDefault="00DB456B" w:rsidP="0038611B">
            <w:pPr>
              <w:rPr>
                <w:sz w:val="20"/>
                <w:szCs w:val="20"/>
              </w:rPr>
            </w:pPr>
          </w:p>
        </w:tc>
        <w:tc>
          <w:tcPr>
            <w:tcW w:w="1984" w:type="dxa"/>
            <w:shd w:val="clear" w:color="auto" w:fill="auto"/>
            <w:tcMar>
              <w:top w:w="28" w:type="dxa"/>
              <w:bottom w:w="28" w:type="dxa"/>
            </w:tcMar>
          </w:tcPr>
          <w:p w14:paraId="0DD9D8D9" w14:textId="77777777" w:rsidR="00DB456B" w:rsidRDefault="00DB456B" w:rsidP="0038611B">
            <w:pPr>
              <w:rPr>
                <w:sz w:val="20"/>
                <w:szCs w:val="20"/>
              </w:rPr>
            </w:pPr>
          </w:p>
          <w:p w14:paraId="10FCAE24" w14:textId="5DE96D0F" w:rsidR="00DB456B" w:rsidRDefault="00DB456B" w:rsidP="0038611B">
            <w:pPr>
              <w:rPr>
                <w:sz w:val="20"/>
                <w:szCs w:val="20"/>
              </w:rPr>
            </w:pPr>
            <w:r>
              <w:rPr>
                <w:sz w:val="20"/>
                <w:szCs w:val="20"/>
              </w:rPr>
              <w:t>£1000</w:t>
            </w:r>
          </w:p>
          <w:p w14:paraId="56785FBD" w14:textId="77777777" w:rsidR="00DB456B" w:rsidRDefault="00DB456B" w:rsidP="0038611B">
            <w:pPr>
              <w:rPr>
                <w:sz w:val="20"/>
                <w:szCs w:val="20"/>
              </w:rPr>
            </w:pPr>
          </w:p>
          <w:p w14:paraId="5136CFA3" w14:textId="528F2273" w:rsidR="00DB456B" w:rsidRDefault="00DB456B" w:rsidP="0038611B">
            <w:pPr>
              <w:rPr>
                <w:sz w:val="20"/>
                <w:szCs w:val="20"/>
              </w:rPr>
            </w:pPr>
          </w:p>
          <w:p w14:paraId="3D3C3065" w14:textId="77777777" w:rsidR="00DB456B" w:rsidRDefault="00DB456B" w:rsidP="0038611B">
            <w:pPr>
              <w:rPr>
                <w:sz w:val="20"/>
                <w:szCs w:val="20"/>
              </w:rPr>
            </w:pPr>
          </w:p>
          <w:p w14:paraId="5D462A14" w14:textId="3F25D06F" w:rsidR="00DB456B" w:rsidRPr="00A17313" w:rsidRDefault="00DB456B" w:rsidP="00E55EE6">
            <w:pPr>
              <w:rPr>
                <w:sz w:val="20"/>
                <w:szCs w:val="20"/>
              </w:rPr>
            </w:pPr>
            <w:r>
              <w:rPr>
                <w:sz w:val="20"/>
                <w:szCs w:val="20"/>
              </w:rPr>
              <w:t>£2500 – spilt between hire of pool and additional, notional staffing cost)</w:t>
            </w:r>
          </w:p>
        </w:tc>
        <w:tc>
          <w:tcPr>
            <w:tcW w:w="3686" w:type="dxa"/>
            <w:tcMar>
              <w:top w:w="28" w:type="dxa"/>
              <w:bottom w:w="28" w:type="dxa"/>
            </w:tcMar>
          </w:tcPr>
          <w:p w14:paraId="423CD4B6" w14:textId="77777777" w:rsidR="00C15494" w:rsidRDefault="00C15494" w:rsidP="00351DF0">
            <w:pPr>
              <w:rPr>
                <w:i/>
                <w:sz w:val="20"/>
                <w:szCs w:val="20"/>
              </w:rPr>
            </w:pPr>
            <w:r w:rsidRPr="00C15494">
              <w:rPr>
                <w:i/>
                <w:sz w:val="20"/>
                <w:szCs w:val="20"/>
              </w:rPr>
              <w:t>In 2022/23 there was ongoing purchase of equipment to ensure that PE kit was safe and contemporary.</w:t>
            </w:r>
          </w:p>
          <w:p w14:paraId="0257CEAE" w14:textId="77777777" w:rsidR="00C15494" w:rsidRDefault="00C15494" w:rsidP="00351DF0">
            <w:pPr>
              <w:rPr>
                <w:i/>
                <w:sz w:val="20"/>
                <w:szCs w:val="20"/>
              </w:rPr>
            </w:pPr>
          </w:p>
          <w:p w14:paraId="67C92272" w14:textId="12293B65" w:rsidR="00C15494" w:rsidRPr="00C15494" w:rsidRDefault="00C15494" w:rsidP="00FF2267">
            <w:pPr>
              <w:rPr>
                <w:i/>
                <w:sz w:val="20"/>
                <w:szCs w:val="20"/>
              </w:rPr>
            </w:pPr>
            <w:r>
              <w:rPr>
                <w:i/>
                <w:sz w:val="20"/>
                <w:szCs w:val="20"/>
              </w:rPr>
              <w:t>In 2022/23 this was a disappointing aspect, with lower numbers of</w:t>
            </w:r>
            <w:r w:rsidR="00FF2267">
              <w:rPr>
                <w:i/>
                <w:sz w:val="20"/>
                <w:szCs w:val="20"/>
              </w:rPr>
              <w:t xml:space="preserve"> </w:t>
            </w:r>
            <w:r>
              <w:rPr>
                <w:i/>
                <w:sz w:val="20"/>
                <w:szCs w:val="20"/>
              </w:rPr>
              <w:t>children able to sw</w:t>
            </w:r>
            <w:r w:rsidR="00FF2267">
              <w:rPr>
                <w:i/>
                <w:sz w:val="20"/>
                <w:szCs w:val="20"/>
              </w:rPr>
              <w:t xml:space="preserve">im 25m unaided.  In 2023/24, this will be addressed by increasing the number of sessions at the pool.  </w:t>
            </w:r>
            <w:r>
              <w:rPr>
                <w:i/>
                <w:sz w:val="20"/>
                <w:szCs w:val="20"/>
              </w:rPr>
              <w:t xml:space="preserve"> </w:t>
            </w:r>
          </w:p>
        </w:tc>
      </w:tr>
      <w:tr w:rsidR="00DB456B" w14:paraId="1331BAFB" w14:textId="77777777" w:rsidTr="00DB456B">
        <w:tc>
          <w:tcPr>
            <w:tcW w:w="3510" w:type="dxa"/>
            <w:shd w:val="clear" w:color="auto" w:fill="215868" w:themeFill="accent5" w:themeFillShade="80"/>
            <w:vAlign w:val="center"/>
          </w:tcPr>
          <w:p w14:paraId="2EDB8964" w14:textId="7CF87797" w:rsidR="00DB456B" w:rsidRPr="00FE4A55" w:rsidRDefault="00DB456B" w:rsidP="0038611B">
            <w:pPr>
              <w:spacing w:before="120"/>
              <w:jc w:val="center"/>
              <w:rPr>
                <w:rFonts w:ascii="Verdana" w:hAnsi="Verdana"/>
                <w:color w:val="C2D69B" w:themeColor="accent3" w:themeTint="99"/>
                <w:sz w:val="24"/>
                <w:szCs w:val="24"/>
              </w:rPr>
            </w:pPr>
            <w:r w:rsidRPr="00FE4A55">
              <w:rPr>
                <w:rFonts w:ascii="Verdana" w:hAnsi="Verdana"/>
                <w:color w:val="C2D69B" w:themeColor="accent3" w:themeTint="99"/>
                <w:sz w:val="24"/>
                <w:szCs w:val="24"/>
              </w:rPr>
              <w:t>Increased participation in competitive sport</w:t>
            </w:r>
          </w:p>
        </w:tc>
        <w:tc>
          <w:tcPr>
            <w:tcW w:w="5274" w:type="dxa"/>
            <w:shd w:val="clear" w:color="auto" w:fill="auto"/>
            <w:tcMar>
              <w:top w:w="28" w:type="dxa"/>
              <w:bottom w:w="28" w:type="dxa"/>
            </w:tcMar>
          </w:tcPr>
          <w:p w14:paraId="20153CE0" w14:textId="77777777" w:rsidR="00DB456B" w:rsidRPr="00CE18CC" w:rsidRDefault="00DB456B" w:rsidP="0038611B">
            <w:pPr>
              <w:rPr>
                <w:sz w:val="20"/>
                <w:szCs w:val="20"/>
              </w:rPr>
            </w:pPr>
          </w:p>
          <w:p w14:paraId="37328FA1" w14:textId="4CED0275" w:rsidR="00DB456B" w:rsidRPr="005733DB" w:rsidRDefault="00DB456B" w:rsidP="0038611B">
            <w:pPr>
              <w:rPr>
                <w:sz w:val="20"/>
                <w:szCs w:val="20"/>
                <w:highlight w:val="green"/>
              </w:rPr>
            </w:pPr>
            <w:r w:rsidRPr="00CE18CC">
              <w:rPr>
                <w:sz w:val="20"/>
                <w:szCs w:val="20"/>
              </w:rPr>
              <w:t>Specialism sports – Real PE only develops children’s skills, rather than dealing directly with sports.  Therefore, we have introduced different competitive sports into each year group.</w:t>
            </w:r>
          </w:p>
        </w:tc>
        <w:tc>
          <w:tcPr>
            <w:tcW w:w="1984" w:type="dxa"/>
            <w:shd w:val="clear" w:color="auto" w:fill="auto"/>
            <w:tcMar>
              <w:top w:w="28" w:type="dxa"/>
              <w:bottom w:w="28" w:type="dxa"/>
            </w:tcMar>
          </w:tcPr>
          <w:p w14:paraId="59F4EACA" w14:textId="77777777" w:rsidR="00DB456B" w:rsidRDefault="00DB456B" w:rsidP="0038611B">
            <w:pPr>
              <w:rPr>
                <w:sz w:val="20"/>
                <w:szCs w:val="20"/>
              </w:rPr>
            </w:pPr>
          </w:p>
          <w:p w14:paraId="75AE6A1A" w14:textId="77777777" w:rsidR="00DB456B" w:rsidRDefault="00DB456B" w:rsidP="0038611B">
            <w:pPr>
              <w:rPr>
                <w:sz w:val="20"/>
                <w:szCs w:val="20"/>
              </w:rPr>
            </w:pPr>
            <w:r>
              <w:rPr>
                <w:sz w:val="20"/>
                <w:szCs w:val="20"/>
              </w:rPr>
              <w:t>Covered in the purchase of equipment and of the Sports Academy provision.  Additional nominal costs around entry fees/transport - £300.</w:t>
            </w:r>
          </w:p>
          <w:p w14:paraId="29BCE636" w14:textId="1BF0886C" w:rsidR="00DB456B" w:rsidRPr="003B3EAD" w:rsidRDefault="00DB456B" w:rsidP="0038611B">
            <w:pPr>
              <w:rPr>
                <w:sz w:val="20"/>
                <w:szCs w:val="20"/>
              </w:rPr>
            </w:pPr>
          </w:p>
        </w:tc>
        <w:tc>
          <w:tcPr>
            <w:tcW w:w="3686" w:type="dxa"/>
            <w:tcMar>
              <w:top w:w="28" w:type="dxa"/>
              <w:bottom w:w="28" w:type="dxa"/>
            </w:tcMar>
          </w:tcPr>
          <w:p w14:paraId="4F8EA106" w14:textId="77777777" w:rsidR="00DB456B" w:rsidRDefault="00DB456B" w:rsidP="0038611B">
            <w:pPr>
              <w:rPr>
                <w:sz w:val="20"/>
                <w:szCs w:val="20"/>
              </w:rPr>
            </w:pPr>
          </w:p>
          <w:p w14:paraId="4ED86D79" w14:textId="3E7A23CF" w:rsidR="00FF2267" w:rsidRPr="00FF2267" w:rsidRDefault="00FF2267" w:rsidP="0038611B">
            <w:pPr>
              <w:rPr>
                <w:i/>
                <w:sz w:val="20"/>
                <w:szCs w:val="20"/>
              </w:rPr>
            </w:pPr>
            <w:r w:rsidRPr="00FF2267">
              <w:rPr>
                <w:i/>
                <w:sz w:val="20"/>
                <w:szCs w:val="20"/>
              </w:rPr>
              <w:t>Additional equipment and entry fees were paid for in 2022/23.</w:t>
            </w:r>
          </w:p>
        </w:tc>
      </w:tr>
      <w:tr w:rsidR="00DB456B" w14:paraId="5AD1D54B" w14:textId="77777777" w:rsidTr="00DB456B">
        <w:trPr>
          <w:gridAfter w:val="1"/>
          <w:wAfter w:w="3686" w:type="dxa"/>
        </w:trPr>
        <w:tc>
          <w:tcPr>
            <w:tcW w:w="3510" w:type="dxa"/>
            <w:vMerge w:val="restart"/>
            <w:shd w:val="clear" w:color="auto" w:fill="7F7F7F" w:themeFill="text1" w:themeFillTint="80"/>
            <w:vAlign w:val="center"/>
          </w:tcPr>
          <w:p w14:paraId="35A89646" w14:textId="77777777" w:rsidR="00DB456B" w:rsidRPr="00FE76DA" w:rsidRDefault="00DB456B" w:rsidP="0038611B">
            <w:pPr>
              <w:jc w:val="center"/>
              <w:rPr>
                <w:rFonts w:ascii="Verdana" w:hAnsi="Verdana"/>
                <w:b/>
                <w:color w:val="C2D69B" w:themeColor="accent3" w:themeTint="99"/>
              </w:rPr>
            </w:pPr>
          </w:p>
        </w:tc>
        <w:tc>
          <w:tcPr>
            <w:tcW w:w="5274" w:type="dxa"/>
            <w:shd w:val="clear" w:color="auto" w:fill="0070C0"/>
            <w:tcMar>
              <w:top w:w="28" w:type="dxa"/>
              <w:bottom w:w="28" w:type="dxa"/>
            </w:tcMar>
          </w:tcPr>
          <w:p w14:paraId="1F99CED4" w14:textId="16E88EBB" w:rsidR="00DB456B" w:rsidRPr="005733DB" w:rsidRDefault="00DB456B" w:rsidP="0038611B">
            <w:pPr>
              <w:jc w:val="center"/>
              <w:rPr>
                <w:sz w:val="20"/>
                <w:szCs w:val="20"/>
                <w:highlight w:val="green"/>
              </w:rPr>
            </w:pPr>
            <w:r w:rsidRPr="00F6790F">
              <w:rPr>
                <w:rFonts w:ascii="Verdana" w:hAnsi="Verdana"/>
                <w:b/>
                <w:color w:val="C2D69B" w:themeColor="accent3" w:themeTint="99"/>
              </w:rPr>
              <w:t>Total Planned Spend</w:t>
            </w:r>
          </w:p>
        </w:tc>
        <w:tc>
          <w:tcPr>
            <w:tcW w:w="1984" w:type="dxa"/>
            <w:shd w:val="clear" w:color="auto" w:fill="auto"/>
            <w:tcMar>
              <w:top w:w="28" w:type="dxa"/>
              <w:bottom w:w="28" w:type="dxa"/>
            </w:tcMar>
          </w:tcPr>
          <w:p w14:paraId="6AA054DC" w14:textId="666A1781" w:rsidR="00DB456B" w:rsidRPr="003B3EAD" w:rsidRDefault="00DB456B" w:rsidP="00DB456B">
            <w:pPr>
              <w:rPr>
                <w:sz w:val="20"/>
                <w:szCs w:val="20"/>
              </w:rPr>
            </w:pPr>
            <w:r>
              <w:rPr>
                <w:sz w:val="20"/>
                <w:szCs w:val="20"/>
              </w:rPr>
              <w:t>£30197</w:t>
            </w:r>
          </w:p>
        </w:tc>
      </w:tr>
      <w:tr w:rsidR="00DB456B" w14:paraId="13F6DC99" w14:textId="77777777" w:rsidTr="00DB456B">
        <w:trPr>
          <w:gridAfter w:val="1"/>
          <w:wAfter w:w="3686" w:type="dxa"/>
        </w:trPr>
        <w:tc>
          <w:tcPr>
            <w:tcW w:w="3510" w:type="dxa"/>
            <w:vMerge/>
            <w:shd w:val="clear" w:color="auto" w:fill="7F7F7F" w:themeFill="text1" w:themeFillTint="80"/>
            <w:vAlign w:val="center"/>
          </w:tcPr>
          <w:p w14:paraId="68178102" w14:textId="77777777" w:rsidR="00DB456B" w:rsidRPr="00FE76DA" w:rsidRDefault="00DB456B" w:rsidP="0038611B">
            <w:pPr>
              <w:jc w:val="center"/>
              <w:rPr>
                <w:rFonts w:ascii="Verdana" w:hAnsi="Verdana"/>
                <w:b/>
                <w:color w:val="C2D69B" w:themeColor="accent3" w:themeTint="99"/>
              </w:rPr>
            </w:pPr>
          </w:p>
        </w:tc>
        <w:tc>
          <w:tcPr>
            <w:tcW w:w="5274" w:type="dxa"/>
            <w:shd w:val="clear" w:color="auto" w:fill="0070C0"/>
            <w:tcMar>
              <w:top w:w="28" w:type="dxa"/>
              <w:bottom w:w="28" w:type="dxa"/>
            </w:tcMar>
          </w:tcPr>
          <w:p w14:paraId="68BD098F" w14:textId="03F995DE" w:rsidR="00DB456B" w:rsidRPr="00F6790F" w:rsidRDefault="00DB456B" w:rsidP="0038611B">
            <w:pPr>
              <w:jc w:val="center"/>
              <w:rPr>
                <w:rFonts w:ascii="Verdana" w:hAnsi="Verdana"/>
                <w:b/>
                <w:color w:val="C2D69B" w:themeColor="accent3" w:themeTint="99"/>
              </w:rPr>
            </w:pPr>
            <w:r w:rsidRPr="00F6790F">
              <w:rPr>
                <w:rFonts w:ascii="Verdana" w:hAnsi="Verdana"/>
                <w:b/>
                <w:color w:val="C2D69B" w:themeColor="accent3" w:themeTint="99"/>
              </w:rPr>
              <w:t xml:space="preserve">Total </w:t>
            </w:r>
            <w:r>
              <w:rPr>
                <w:rFonts w:ascii="Verdana" w:hAnsi="Verdana"/>
                <w:b/>
                <w:color w:val="C2D69B" w:themeColor="accent3" w:themeTint="99"/>
              </w:rPr>
              <w:t>Actual</w:t>
            </w:r>
            <w:r w:rsidRPr="00F6790F">
              <w:rPr>
                <w:rFonts w:ascii="Verdana" w:hAnsi="Verdana"/>
                <w:b/>
                <w:color w:val="C2D69B" w:themeColor="accent3" w:themeTint="99"/>
              </w:rPr>
              <w:t xml:space="preserve"> Spend</w:t>
            </w:r>
          </w:p>
        </w:tc>
        <w:tc>
          <w:tcPr>
            <w:tcW w:w="1984" w:type="dxa"/>
            <w:tcMar>
              <w:top w:w="28" w:type="dxa"/>
              <w:bottom w:w="28" w:type="dxa"/>
            </w:tcMar>
          </w:tcPr>
          <w:p w14:paraId="37249901" w14:textId="7E105330" w:rsidR="00DB456B" w:rsidRPr="003B3EAD" w:rsidRDefault="00971250" w:rsidP="0038611B">
            <w:pPr>
              <w:rPr>
                <w:sz w:val="20"/>
                <w:szCs w:val="20"/>
              </w:rPr>
            </w:pPr>
            <w:r>
              <w:rPr>
                <w:sz w:val="20"/>
                <w:szCs w:val="20"/>
              </w:rPr>
              <w:t>£30100</w:t>
            </w:r>
          </w:p>
        </w:tc>
      </w:tr>
      <w:tr w:rsidR="00DB456B" w14:paraId="31ED02D3" w14:textId="77777777" w:rsidTr="00DB456B">
        <w:trPr>
          <w:gridAfter w:val="1"/>
          <w:wAfter w:w="3686" w:type="dxa"/>
        </w:trPr>
        <w:tc>
          <w:tcPr>
            <w:tcW w:w="3510" w:type="dxa"/>
            <w:vMerge/>
            <w:shd w:val="clear" w:color="auto" w:fill="7F7F7F" w:themeFill="text1" w:themeFillTint="80"/>
            <w:vAlign w:val="center"/>
          </w:tcPr>
          <w:p w14:paraId="10AB91EA" w14:textId="77777777" w:rsidR="00DB456B" w:rsidRPr="00FE76DA" w:rsidRDefault="00DB456B" w:rsidP="0038611B">
            <w:pPr>
              <w:jc w:val="center"/>
              <w:rPr>
                <w:rFonts w:ascii="Verdana" w:hAnsi="Verdana"/>
                <w:b/>
                <w:color w:val="C2D69B" w:themeColor="accent3" w:themeTint="99"/>
              </w:rPr>
            </w:pPr>
          </w:p>
        </w:tc>
        <w:tc>
          <w:tcPr>
            <w:tcW w:w="5274" w:type="dxa"/>
            <w:shd w:val="clear" w:color="auto" w:fill="0070C0"/>
            <w:tcMar>
              <w:top w:w="28" w:type="dxa"/>
              <w:bottom w:w="28" w:type="dxa"/>
            </w:tcMar>
          </w:tcPr>
          <w:p w14:paraId="21097169" w14:textId="00E5C37B" w:rsidR="00DB456B" w:rsidRPr="00F6790F" w:rsidRDefault="00DB456B" w:rsidP="0038611B">
            <w:pPr>
              <w:jc w:val="center"/>
              <w:rPr>
                <w:rFonts w:ascii="Verdana" w:hAnsi="Verdana"/>
                <w:b/>
                <w:color w:val="C2D69B" w:themeColor="accent3" w:themeTint="99"/>
              </w:rPr>
            </w:pPr>
            <w:r>
              <w:rPr>
                <w:rFonts w:ascii="Verdana" w:hAnsi="Verdana"/>
                <w:b/>
                <w:color w:val="C2D69B" w:themeColor="accent3" w:themeTint="99"/>
              </w:rPr>
              <w:t>Total Underspend</w:t>
            </w:r>
          </w:p>
        </w:tc>
        <w:tc>
          <w:tcPr>
            <w:tcW w:w="1984" w:type="dxa"/>
            <w:tcMar>
              <w:top w:w="28" w:type="dxa"/>
              <w:bottom w:w="28" w:type="dxa"/>
            </w:tcMar>
          </w:tcPr>
          <w:p w14:paraId="025093DA" w14:textId="5C0295EE" w:rsidR="00DB456B" w:rsidRPr="003B3EAD" w:rsidRDefault="00DB456B" w:rsidP="0038611B">
            <w:pPr>
              <w:rPr>
                <w:sz w:val="20"/>
                <w:szCs w:val="20"/>
              </w:rPr>
            </w:pPr>
            <w:r>
              <w:rPr>
                <w:sz w:val="20"/>
                <w:szCs w:val="20"/>
              </w:rPr>
              <w:t>Zero – intentional overspend</w:t>
            </w:r>
          </w:p>
        </w:tc>
      </w:tr>
    </w:tbl>
    <w:p w14:paraId="63902103" w14:textId="77777777" w:rsidR="00F6790F" w:rsidRDefault="006C4512" w:rsidP="004D1A0F">
      <w:pPr>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75DEF038" w14:textId="58DDA772" w:rsidR="009B4BD3" w:rsidRPr="00002FD1" w:rsidRDefault="000F4C9D" w:rsidP="004D1A0F">
      <w:pPr>
        <w:rPr>
          <w:rFonts w:ascii="Verdana" w:hAnsi="Verdana"/>
        </w:rPr>
      </w:pPr>
      <w:r>
        <w:rPr>
          <w:rFonts w:ascii="Verdana" w:hAnsi="Verdana"/>
        </w:rPr>
        <w:t xml:space="preserve"> </w:t>
      </w:r>
    </w:p>
    <w:sectPr w:rsidR="009B4BD3" w:rsidRPr="00002FD1" w:rsidSect="008828B6">
      <w:headerReference w:type="default" r:id="rId10"/>
      <w:pgSz w:w="16838" w:h="11906" w:orient="landscape"/>
      <w:pgMar w:top="1440" w:right="67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46E1E" w14:textId="77777777" w:rsidR="00A30DB4" w:rsidRDefault="00A30DB4" w:rsidP="000D2CC2">
      <w:pPr>
        <w:spacing w:after="0" w:line="240" w:lineRule="auto"/>
      </w:pPr>
      <w:r>
        <w:separator/>
      </w:r>
    </w:p>
  </w:endnote>
  <w:endnote w:type="continuationSeparator" w:id="0">
    <w:p w14:paraId="0B996682" w14:textId="77777777" w:rsidR="00A30DB4" w:rsidRDefault="00A30DB4" w:rsidP="000D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FEA5" w14:textId="77777777" w:rsidR="00A30DB4" w:rsidRDefault="00A30DB4" w:rsidP="000D2CC2">
      <w:pPr>
        <w:spacing w:after="0" w:line="240" w:lineRule="auto"/>
      </w:pPr>
      <w:r>
        <w:separator/>
      </w:r>
    </w:p>
  </w:footnote>
  <w:footnote w:type="continuationSeparator" w:id="0">
    <w:p w14:paraId="7B78E9FC" w14:textId="77777777" w:rsidR="00A30DB4" w:rsidRDefault="00A30DB4" w:rsidP="000D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AC3A8" w14:textId="1E6F5924" w:rsidR="003B1FE5" w:rsidRDefault="003B1FE5" w:rsidP="000D2CC2">
    <w:pPr>
      <w:pStyle w:val="Header"/>
      <w:jc w:val="center"/>
      <w:rPr>
        <w:rFonts w:ascii="Verdana" w:hAnsi="Verdana"/>
        <w:b/>
        <w:color w:val="215868" w:themeColor="accent5" w:themeShade="80"/>
        <w:sz w:val="24"/>
        <w:szCs w:val="24"/>
      </w:rPr>
    </w:pPr>
    <w:r w:rsidRPr="005F2585">
      <w:rPr>
        <w:rFonts w:ascii="Verdana" w:hAnsi="Verdana"/>
        <w:b/>
        <w:noProof/>
        <w:color w:val="4BACC6" w:themeColor="accent5"/>
        <w:sz w:val="24"/>
        <w:szCs w:val="24"/>
        <w:highlight w:val="yellow"/>
        <w:lang w:eastAsia="en-GB"/>
      </w:rPr>
      <w:drawing>
        <wp:anchor distT="0" distB="0" distL="114300" distR="114300" simplePos="0" relativeHeight="251658240" behindDoc="1" locked="0" layoutInCell="1" allowOverlap="1" wp14:anchorId="1C066891" wp14:editId="228464D4">
          <wp:simplePos x="0" y="0"/>
          <wp:positionH relativeFrom="column">
            <wp:posOffset>6494836</wp:posOffset>
          </wp:positionH>
          <wp:positionV relativeFrom="paragraph">
            <wp:posOffset>188233</wp:posOffset>
          </wp:positionV>
          <wp:extent cx="969010" cy="552450"/>
          <wp:effectExtent l="0" t="0" r="2540" b="0"/>
          <wp:wrapTight wrapText="bothSides">
            <wp:wrapPolygon edited="0">
              <wp:start x="0" y="0"/>
              <wp:lineTo x="0" y="20855"/>
              <wp:lineTo x="21232" y="20855"/>
              <wp:lineTo x="212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noProof/>
        <w:color w:val="215868" w:themeColor="accent5" w:themeShade="80"/>
        <w:sz w:val="24"/>
        <w:szCs w:val="24"/>
        <w:lang w:eastAsia="en-GB"/>
      </w:rPr>
      <w:drawing>
        <wp:inline distT="0" distB="0" distL="0" distR="0" wp14:anchorId="16E46B94" wp14:editId="1A341237">
          <wp:extent cx="1122745" cy="87820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8111" cy="882402"/>
                  </a:xfrm>
                  <a:prstGeom prst="rect">
                    <a:avLst/>
                  </a:prstGeom>
                  <a:noFill/>
                </pic:spPr>
              </pic:pic>
            </a:graphicData>
          </a:graphic>
        </wp:inline>
      </w:drawing>
    </w:r>
    <w:r w:rsidR="00A22494" w:rsidRPr="005F2585">
      <w:rPr>
        <w:rFonts w:ascii="Verdana" w:hAnsi="Verdana"/>
        <w:b/>
        <w:noProof/>
        <w:color w:val="4BACC6" w:themeColor="accent5"/>
        <w:sz w:val="24"/>
        <w:szCs w:val="24"/>
        <w:highlight w:val="yellow"/>
        <w:lang w:eastAsia="en-GB"/>
      </w:rPr>
      <mc:AlternateContent>
        <mc:Choice Requires="wps">
          <w:drawing>
            <wp:anchor distT="0" distB="0" distL="114300" distR="114300" simplePos="0" relativeHeight="251661312" behindDoc="0" locked="0" layoutInCell="0" allowOverlap="1" wp14:anchorId="18B5A62C" wp14:editId="1D87D097">
              <wp:simplePos x="0" y="0"/>
              <wp:positionH relativeFrom="page">
                <wp:posOffset>0</wp:posOffset>
              </wp:positionH>
              <wp:positionV relativeFrom="page">
                <wp:posOffset>190500</wp:posOffset>
              </wp:positionV>
              <wp:extent cx="10692063" cy="264695"/>
              <wp:effectExtent l="0" t="0" r="0" b="2540"/>
              <wp:wrapNone/>
              <wp:docPr id="1" name="MSIPCM2c2c46748b4b403f075f3199" descr="{&quot;HashCode&quot;:-213021128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063" cy="2646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72C869" w14:textId="77777777"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B5A62C" id="_x0000_t202" coordsize="21600,21600" o:spt="202" path="m,l,21600r21600,l21600,xe">
              <v:stroke joinstyle="miter"/>
              <v:path gradientshapeok="t" o:connecttype="rect"/>
            </v:shapetype>
            <v:shape id="MSIPCM2c2c46748b4b403f075f3199" o:spid="_x0000_s1026" type="#_x0000_t202" alt="{&quot;HashCode&quot;:-2130211288,&quot;Height&quot;:595.0,&quot;Width&quot;:841.0,&quot;Placement&quot;:&quot;Header&quot;,&quot;Index&quot;:&quot;Primary&quot;,&quot;Section&quot;:1,&quot;Top&quot;:0.0,&quot;Left&quot;:0.0}" style="position:absolute;left:0;text-align:left;margin-left:0;margin-top:15pt;width:841.9pt;height:20.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" o:allowincell="f" filled="f" stroked="f" strokeweight=".5pt">
              <v:textbox inset=",0,20pt,0">
                <w:txbxContent>
                  <w:p w14:paraId="6972C869" w14:textId="77777777"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v:textbox>
              <w10:wrap anchorx="page" anchory="page"/>
            </v:shape>
          </w:pict>
        </mc:Fallback>
      </mc:AlternateContent>
    </w:r>
    <w:r w:rsidR="005F2585">
      <w:rPr>
        <w:rFonts w:ascii="Verdana" w:hAnsi="Verdana"/>
        <w:b/>
        <w:color w:val="215868" w:themeColor="accent5" w:themeShade="80"/>
        <w:sz w:val="24"/>
        <w:szCs w:val="24"/>
      </w:rPr>
      <w:t xml:space="preserve"> </w:t>
    </w:r>
  </w:p>
  <w:p w14:paraId="194366B8" w14:textId="7512F194" w:rsidR="005F2585" w:rsidRDefault="00A9544E" w:rsidP="000D2CC2">
    <w:pPr>
      <w:pStyle w:val="Header"/>
      <w:jc w:val="center"/>
      <w:rPr>
        <w:rFonts w:ascii="Verdana" w:hAnsi="Verdana"/>
        <w:b/>
        <w:color w:val="215868" w:themeColor="accent5" w:themeShade="80"/>
        <w:sz w:val="24"/>
        <w:szCs w:val="24"/>
      </w:rPr>
    </w:pPr>
    <w:r>
      <w:rPr>
        <w:rFonts w:ascii="Verdana" w:hAnsi="Verdana"/>
        <w:b/>
        <w:color w:val="215868" w:themeColor="accent5" w:themeShade="80"/>
        <w:sz w:val="24"/>
        <w:szCs w:val="24"/>
      </w:rPr>
      <w:t>Liskeard Hillfort Primary School</w:t>
    </w:r>
  </w:p>
  <w:p w14:paraId="1501982C" w14:textId="0B3F58A8" w:rsidR="000D2CC2" w:rsidRPr="000D2CC2" w:rsidRDefault="000D2CC2" w:rsidP="000D2CC2">
    <w:pPr>
      <w:pStyle w:val="Header"/>
      <w:jc w:val="center"/>
      <w:rPr>
        <w:rFonts w:ascii="Verdana" w:hAnsi="Verdana"/>
        <w:b/>
        <w:color w:val="215868" w:themeColor="accent5" w:themeShade="80"/>
        <w:sz w:val="24"/>
        <w:szCs w:val="24"/>
      </w:rPr>
    </w:pPr>
    <w:r w:rsidRPr="000D2CC2">
      <w:rPr>
        <w:rFonts w:ascii="Verdana" w:hAnsi="Verdana"/>
        <w:b/>
        <w:color w:val="215868" w:themeColor="accent5" w:themeShade="80"/>
        <w:sz w:val="24"/>
        <w:szCs w:val="24"/>
      </w:rPr>
      <w:t xml:space="preserve">PRIMARY </w:t>
    </w:r>
    <w:r>
      <w:rPr>
        <w:rFonts w:ascii="Verdana" w:hAnsi="Verdana"/>
        <w:b/>
        <w:color w:val="215868" w:themeColor="accent5" w:themeShade="80"/>
        <w:sz w:val="24"/>
        <w:szCs w:val="24"/>
      </w:rPr>
      <w:t xml:space="preserve">PE &amp; </w:t>
    </w:r>
    <w:r w:rsidRPr="000D2CC2">
      <w:rPr>
        <w:rFonts w:ascii="Verdana" w:hAnsi="Verdana"/>
        <w:b/>
        <w:color w:val="215868" w:themeColor="accent5" w:themeShade="80"/>
        <w:sz w:val="24"/>
        <w:szCs w:val="24"/>
      </w:rPr>
      <w:t>SPORTS PREMIUM</w:t>
    </w:r>
    <w:r w:rsidR="00F64A2B">
      <w:rPr>
        <w:rFonts w:ascii="Verdana" w:hAnsi="Verdana"/>
        <w:b/>
        <w:color w:val="215868" w:themeColor="accent5" w:themeShade="80"/>
        <w:sz w:val="24"/>
        <w:szCs w:val="24"/>
      </w:rPr>
      <w:t xml:space="preserve"> STATEMENT</w:t>
    </w:r>
    <w:r w:rsidR="00891403">
      <w:rPr>
        <w:rFonts w:ascii="Verdana" w:hAnsi="Verdana"/>
        <w:b/>
        <w:color w:val="215868" w:themeColor="accent5" w:themeShade="80"/>
        <w:sz w:val="24"/>
        <w:szCs w:val="24"/>
      </w:rPr>
      <w:t xml:space="preserve"> 202</w:t>
    </w:r>
    <w:r w:rsidR="00971250">
      <w:rPr>
        <w:rFonts w:ascii="Verdana" w:hAnsi="Verdana"/>
        <w:b/>
        <w:color w:val="215868" w:themeColor="accent5" w:themeShade="80"/>
        <w:sz w:val="24"/>
        <w:szCs w:val="24"/>
      </w:rPr>
      <w:t>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4B4"/>
    <w:multiLevelType w:val="multilevel"/>
    <w:tmpl w:val="16C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478B"/>
    <w:multiLevelType w:val="multilevel"/>
    <w:tmpl w:val="C89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445B1"/>
    <w:multiLevelType w:val="hybridMultilevel"/>
    <w:tmpl w:val="FD1484C0"/>
    <w:lvl w:ilvl="0" w:tplc="FE3A820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BC1"/>
    <w:multiLevelType w:val="hybridMultilevel"/>
    <w:tmpl w:val="A268E696"/>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D37B2F"/>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27B15F77"/>
    <w:multiLevelType w:val="hybridMultilevel"/>
    <w:tmpl w:val="D60C4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B77F5"/>
    <w:multiLevelType w:val="hybridMultilevel"/>
    <w:tmpl w:val="91862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56D12"/>
    <w:multiLevelType w:val="multilevel"/>
    <w:tmpl w:val="253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90AEA"/>
    <w:multiLevelType w:val="hybridMultilevel"/>
    <w:tmpl w:val="BA46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3306D"/>
    <w:multiLevelType w:val="hybridMultilevel"/>
    <w:tmpl w:val="27EABF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A766121"/>
    <w:multiLevelType w:val="hybridMultilevel"/>
    <w:tmpl w:val="D3D67892"/>
    <w:lvl w:ilvl="0" w:tplc="F578990E">
      <w:start w:val="1"/>
      <w:numFmt w:val="bullet"/>
      <w:lvlText w:val="•"/>
      <w:lvlJc w:val="left"/>
      <w:pPr>
        <w:tabs>
          <w:tab w:val="num" w:pos="720"/>
        </w:tabs>
        <w:ind w:left="720" w:hanging="360"/>
      </w:pPr>
      <w:rPr>
        <w:rFonts w:ascii="Arial" w:hAnsi="Arial" w:hint="default"/>
      </w:rPr>
    </w:lvl>
    <w:lvl w:ilvl="1" w:tplc="29423452">
      <w:start w:val="302"/>
      <w:numFmt w:val="bullet"/>
      <w:lvlText w:val="o"/>
      <w:lvlJc w:val="left"/>
      <w:pPr>
        <w:tabs>
          <w:tab w:val="num" w:pos="1440"/>
        </w:tabs>
        <w:ind w:left="1440" w:hanging="360"/>
      </w:pPr>
      <w:rPr>
        <w:rFonts w:ascii="Courier New" w:hAnsi="Courier New" w:hint="default"/>
      </w:rPr>
    </w:lvl>
    <w:lvl w:ilvl="2" w:tplc="81D8DD6C" w:tentative="1">
      <w:start w:val="1"/>
      <w:numFmt w:val="bullet"/>
      <w:lvlText w:val="•"/>
      <w:lvlJc w:val="left"/>
      <w:pPr>
        <w:tabs>
          <w:tab w:val="num" w:pos="2160"/>
        </w:tabs>
        <w:ind w:left="2160" w:hanging="360"/>
      </w:pPr>
      <w:rPr>
        <w:rFonts w:ascii="Arial" w:hAnsi="Arial" w:hint="default"/>
      </w:rPr>
    </w:lvl>
    <w:lvl w:ilvl="3" w:tplc="F8CA028A" w:tentative="1">
      <w:start w:val="1"/>
      <w:numFmt w:val="bullet"/>
      <w:lvlText w:val="•"/>
      <w:lvlJc w:val="left"/>
      <w:pPr>
        <w:tabs>
          <w:tab w:val="num" w:pos="2880"/>
        </w:tabs>
        <w:ind w:left="2880" w:hanging="360"/>
      </w:pPr>
      <w:rPr>
        <w:rFonts w:ascii="Arial" w:hAnsi="Arial" w:hint="default"/>
      </w:rPr>
    </w:lvl>
    <w:lvl w:ilvl="4" w:tplc="BB58C324" w:tentative="1">
      <w:start w:val="1"/>
      <w:numFmt w:val="bullet"/>
      <w:lvlText w:val="•"/>
      <w:lvlJc w:val="left"/>
      <w:pPr>
        <w:tabs>
          <w:tab w:val="num" w:pos="3600"/>
        </w:tabs>
        <w:ind w:left="3600" w:hanging="360"/>
      </w:pPr>
      <w:rPr>
        <w:rFonts w:ascii="Arial" w:hAnsi="Arial" w:hint="default"/>
      </w:rPr>
    </w:lvl>
    <w:lvl w:ilvl="5" w:tplc="C4E4D7F8" w:tentative="1">
      <w:start w:val="1"/>
      <w:numFmt w:val="bullet"/>
      <w:lvlText w:val="•"/>
      <w:lvlJc w:val="left"/>
      <w:pPr>
        <w:tabs>
          <w:tab w:val="num" w:pos="4320"/>
        </w:tabs>
        <w:ind w:left="4320" w:hanging="360"/>
      </w:pPr>
      <w:rPr>
        <w:rFonts w:ascii="Arial" w:hAnsi="Arial" w:hint="default"/>
      </w:rPr>
    </w:lvl>
    <w:lvl w:ilvl="6" w:tplc="F7425FA2" w:tentative="1">
      <w:start w:val="1"/>
      <w:numFmt w:val="bullet"/>
      <w:lvlText w:val="•"/>
      <w:lvlJc w:val="left"/>
      <w:pPr>
        <w:tabs>
          <w:tab w:val="num" w:pos="5040"/>
        </w:tabs>
        <w:ind w:left="5040" w:hanging="360"/>
      </w:pPr>
      <w:rPr>
        <w:rFonts w:ascii="Arial" w:hAnsi="Arial" w:hint="default"/>
      </w:rPr>
    </w:lvl>
    <w:lvl w:ilvl="7" w:tplc="51AEEFAA" w:tentative="1">
      <w:start w:val="1"/>
      <w:numFmt w:val="bullet"/>
      <w:lvlText w:val="•"/>
      <w:lvlJc w:val="left"/>
      <w:pPr>
        <w:tabs>
          <w:tab w:val="num" w:pos="5760"/>
        </w:tabs>
        <w:ind w:left="5760" w:hanging="360"/>
      </w:pPr>
      <w:rPr>
        <w:rFonts w:ascii="Arial" w:hAnsi="Arial" w:hint="default"/>
      </w:rPr>
    </w:lvl>
    <w:lvl w:ilvl="8" w:tplc="042C7F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5E6076"/>
    <w:multiLevelType w:val="hybridMultilevel"/>
    <w:tmpl w:val="614C38DA"/>
    <w:lvl w:ilvl="0" w:tplc="08090017">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06564A"/>
    <w:multiLevelType w:val="hybridMultilevel"/>
    <w:tmpl w:val="0CB8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DE77A6"/>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15:restartNumberingAfterBreak="0">
    <w:nsid w:val="7EFC650A"/>
    <w:multiLevelType w:val="hybridMultilevel"/>
    <w:tmpl w:val="7A6C0306"/>
    <w:lvl w:ilvl="0" w:tplc="3B72074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1"/>
  </w:num>
  <w:num w:numId="6">
    <w:abstractNumId w:val="14"/>
  </w:num>
  <w:num w:numId="7">
    <w:abstractNumId w:val="11"/>
  </w:num>
  <w:num w:numId="8">
    <w:abstractNumId w:val="12"/>
  </w:num>
  <w:num w:numId="9">
    <w:abstractNumId w:val="3"/>
  </w:num>
  <w:num w:numId="10">
    <w:abstractNumId w:val="8"/>
  </w:num>
  <w:num w:numId="11">
    <w:abstractNumId w:val="10"/>
  </w:num>
  <w:num w:numId="12">
    <w:abstractNumId w:val="13"/>
  </w:num>
  <w:num w:numId="13">
    <w:abstractNumId w:val="5"/>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D3"/>
    <w:rsid w:val="00002FD1"/>
    <w:rsid w:val="00023E34"/>
    <w:rsid w:val="00026D64"/>
    <w:rsid w:val="0005295E"/>
    <w:rsid w:val="00057799"/>
    <w:rsid w:val="00067587"/>
    <w:rsid w:val="00074DA2"/>
    <w:rsid w:val="00080EFF"/>
    <w:rsid w:val="000A7DC9"/>
    <w:rsid w:val="000D2C43"/>
    <w:rsid w:val="000D2CC2"/>
    <w:rsid w:val="000F4C9D"/>
    <w:rsid w:val="001007A2"/>
    <w:rsid w:val="00111D68"/>
    <w:rsid w:val="001154D3"/>
    <w:rsid w:val="00117ED8"/>
    <w:rsid w:val="00133D38"/>
    <w:rsid w:val="0018025A"/>
    <w:rsid w:val="001948B8"/>
    <w:rsid w:val="001A5736"/>
    <w:rsid w:val="001B55F9"/>
    <w:rsid w:val="001C38D2"/>
    <w:rsid w:val="001D0CE1"/>
    <w:rsid w:val="001E7C40"/>
    <w:rsid w:val="00205ABC"/>
    <w:rsid w:val="002462D9"/>
    <w:rsid w:val="00246ABC"/>
    <w:rsid w:val="00254437"/>
    <w:rsid w:val="002568C3"/>
    <w:rsid w:val="00276E5F"/>
    <w:rsid w:val="002B5030"/>
    <w:rsid w:val="002C0604"/>
    <w:rsid w:val="002C0D4D"/>
    <w:rsid w:val="00351DF0"/>
    <w:rsid w:val="0038611B"/>
    <w:rsid w:val="003B1FE5"/>
    <w:rsid w:val="003B3EAD"/>
    <w:rsid w:val="003C521E"/>
    <w:rsid w:val="003D1C1F"/>
    <w:rsid w:val="003E127F"/>
    <w:rsid w:val="003F68B1"/>
    <w:rsid w:val="004078B6"/>
    <w:rsid w:val="0046402D"/>
    <w:rsid w:val="00472A43"/>
    <w:rsid w:val="004D1A0F"/>
    <w:rsid w:val="00531094"/>
    <w:rsid w:val="00533BC8"/>
    <w:rsid w:val="00534C55"/>
    <w:rsid w:val="00540FBC"/>
    <w:rsid w:val="005520B7"/>
    <w:rsid w:val="00572CAB"/>
    <w:rsid w:val="005733DB"/>
    <w:rsid w:val="005D4B27"/>
    <w:rsid w:val="005E5E3A"/>
    <w:rsid w:val="005F2262"/>
    <w:rsid w:val="005F2585"/>
    <w:rsid w:val="00633BFD"/>
    <w:rsid w:val="006414B1"/>
    <w:rsid w:val="00693288"/>
    <w:rsid w:val="006C4512"/>
    <w:rsid w:val="007346E2"/>
    <w:rsid w:val="0073609A"/>
    <w:rsid w:val="007478DD"/>
    <w:rsid w:val="0077265B"/>
    <w:rsid w:val="00773E1C"/>
    <w:rsid w:val="00774AB8"/>
    <w:rsid w:val="007906A5"/>
    <w:rsid w:val="007A3F84"/>
    <w:rsid w:val="007C7CAC"/>
    <w:rsid w:val="007F7D90"/>
    <w:rsid w:val="00802F6C"/>
    <w:rsid w:val="008110D4"/>
    <w:rsid w:val="008313AD"/>
    <w:rsid w:val="00832BD6"/>
    <w:rsid w:val="00845BF8"/>
    <w:rsid w:val="00847B06"/>
    <w:rsid w:val="00873768"/>
    <w:rsid w:val="008828B6"/>
    <w:rsid w:val="00891403"/>
    <w:rsid w:val="0089415B"/>
    <w:rsid w:val="008B31FE"/>
    <w:rsid w:val="008D3FDD"/>
    <w:rsid w:val="008D5E38"/>
    <w:rsid w:val="008D6A84"/>
    <w:rsid w:val="008F7A37"/>
    <w:rsid w:val="00902592"/>
    <w:rsid w:val="0090491E"/>
    <w:rsid w:val="00905D3F"/>
    <w:rsid w:val="0091778D"/>
    <w:rsid w:val="00917873"/>
    <w:rsid w:val="00921677"/>
    <w:rsid w:val="009363CB"/>
    <w:rsid w:val="009364F1"/>
    <w:rsid w:val="009615C5"/>
    <w:rsid w:val="00962E4B"/>
    <w:rsid w:val="00971250"/>
    <w:rsid w:val="009B4BD3"/>
    <w:rsid w:val="009E6347"/>
    <w:rsid w:val="00A0487E"/>
    <w:rsid w:val="00A17313"/>
    <w:rsid w:val="00A22494"/>
    <w:rsid w:val="00A22A6F"/>
    <w:rsid w:val="00A30DB4"/>
    <w:rsid w:val="00A67FC4"/>
    <w:rsid w:val="00A81100"/>
    <w:rsid w:val="00A938C5"/>
    <w:rsid w:val="00A9544E"/>
    <w:rsid w:val="00A95BBA"/>
    <w:rsid w:val="00AA100B"/>
    <w:rsid w:val="00B13C37"/>
    <w:rsid w:val="00B148E6"/>
    <w:rsid w:val="00B14C40"/>
    <w:rsid w:val="00B65A04"/>
    <w:rsid w:val="00B84566"/>
    <w:rsid w:val="00BA3628"/>
    <w:rsid w:val="00BB06B1"/>
    <w:rsid w:val="00C06072"/>
    <w:rsid w:val="00C15494"/>
    <w:rsid w:val="00C43D54"/>
    <w:rsid w:val="00C63DB8"/>
    <w:rsid w:val="00C852A8"/>
    <w:rsid w:val="00CA03DE"/>
    <w:rsid w:val="00CB1DAA"/>
    <w:rsid w:val="00CB71E8"/>
    <w:rsid w:val="00CC64CF"/>
    <w:rsid w:val="00CD0E0F"/>
    <w:rsid w:val="00CE18CC"/>
    <w:rsid w:val="00D124A2"/>
    <w:rsid w:val="00D163B6"/>
    <w:rsid w:val="00D24070"/>
    <w:rsid w:val="00D56545"/>
    <w:rsid w:val="00D95076"/>
    <w:rsid w:val="00D978D5"/>
    <w:rsid w:val="00DA0475"/>
    <w:rsid w:val="00DB456B"/>
    <w:rsid w:val="00DB6302"/>
    <w:rsid w:val="00DD5870"/>
    <w:rsid w:val="00E15744"/>
    <w:rsid w:val="00E376B8"/>
    <w:rsid w:val="00E42614"/>
    <w:rsid w:val="00E5123B"/>
    <w:rsid w:val="00E55EE6"/>
    <w:rsid w:val="00E6188E"/>
    <w:rsid w:val="00EB1917"/>
    <w:rsid w:val="00EE25FD"/>
    <w:rsid w:val="00EE4FCB"/>
    <w:rsid w:val="00F135E9"/>
    <w:rsid w:val="00F64A2B"/>
    <w:rsid w:val="00F6790F"/>
    <w:rsid w:val="00FC093F"/>
    <w:rsid w:val="00FE4A55"/>
    <w:rsid w:val="00FE76DA"/>
    <w:rsid w:val="00FF2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71D52"/>
  <w15:docId w15:val="{6B8AE437-CEA2-4771-AA64-BAE80B87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table" w:customStyle="1" w:styleId="TableGrid1">
    <w:name w:val="Table Grid1"/>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790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6790F"/>
    <w:rPr>
      <w:rFonts w:ascii="Calibri" w:eastAsia="Calibri" w:hAnsi="Calibri" w:cs="Calibri"/>
      <w:sz w:val="24"/>
      <w:szCs w:val="24"/>
    </w:rPr>
  </w:style>
  <w:style w:type="character" w:customStyle="1" w:styleId="UnresolvedMention">
    <w:name w:val="Unresolved Mention"/>
    <w:basedOn w:val="DefaultParagraphFont"/>
    <w:uiPriority w:val="99"/>
    <w:semiHidden/>
    <w:unhideWhenUsed/>
    <w:rsid w:val="008D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20">
      <w:bodyDiv w:val="1"/>
      <w:marLeft w:val="0"/>
      <w:marRight w:val="0"/>
      <w:marTop w:val="0"/>
      <w:marBottom w:val="0"/>
      <w:divBdr>
        <w:top w:val="none" w:sz="0" w:space="0" w:color="auto"/>
        <w:left w:val="none" w:sz="0" w:space="0" w:color="auto"/>
        <w:bottom w:val="none" w:sz="0" w:space="0" w:color="auto"/>
        <w:right w:val="none" w:sz="0" w:space="0" w:color="auto"/>
      </w:divBdr>
      <w:divsChild>
        <w:div w:id="74061065">
          <w:marLeft w:val="0"/>
          <w:marRight w:val="0"/>
          <w:marTop w:val="0"/>
          <w:marBottom w:val="0"/>
          <w:divBdr>
            <w:top w:val="none" w:sz="0" w:space="0" w:color="auto"/>
            <w:left w:val="none" w:sz="0" w:space="0" w:color="auto"/>
            <w:bottom w:val="none" w:sz="0" w:space="0" w:color="auto"/>
            <w:right w:val="none" w:sz="0" w:space="0" w:color="auto"/>
          </w:divBdr>
          <w:divsChild>
            <w:div w:id="1995794426">
              <w:marLeft w:val="0"/>
              <w:marRight w:val="0"/>
              <w:marTop w:val="0"/>
              <w:marBottom w:val="0"/>
              <w:divBdr>
                <w:top w:val="none" w:sz="0" w:space="0" w:color="auto"/>
                <w:left w:val="none" w:sz="0" w:space="0" w:color="auto"/>
                <w:bottom w:val="none" w:sz="0" w:space="0" w:color="auto"/>
                <w:right w:val="none" w:sz="0" w:space="0" w:color="auto"/>
              </w:divBdr>
              <w:divsChild>
                <w:div w:id="619653673">
                  <w:marLeft w:val="0"/>
                  <w:marRight w:val="0"/>
                  <w:marTop w:val="0"/>
                  <w:marBottom w:val="0"/>
                  <w:divBdr>
                    <w:top w:val="none" w:sz="0" w:space="0" w:color="auto"/>
                    <w:left w:val="none" w:sz="0" w:space="0" w:color="auto"/>
                    <w:bottom w:val="none" w:sz="0" w:space="0" w:color="auto"/>
                    <w:right w:val="none" w:sz="0" w:space="0" w:color="auto"/>
                  </w:divBdr>
                  <w:divsChild>
                    <w:div w:id="19672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513">
      <w:bodyDiv w:val="1"/>
      <w:marLeft w:val="0"/>
      <w:marRight w:val="0"/>
      <w:marTop w:val="0"/>
      <w:marBottom w:val="0"/>
      <w:divBdr>
        <w:top w:val="none" w:sz="0" w:space="0" w:color="auto"/>
        <w:left w:val="none" w:sz="0" w:space="0" w:color="auto"/>
        <w:bottom w:val="none" w:sz="0" w:space="0" w:color="auto"/>
        <w:right w:val="none" w:sz="0" w:space="0" w:color="auto"/>
      </w:divBdr>
      <w:divsChild>
        <w:div w:id="772092441">
          <w:marLeft w:val="0"/>
          <w:marRight w:val="0"/>
          <w:marTop w:val="0"/>
          <w:marBottom w:val="0"/>
          <w:divBdr>
            <w:top w:val="none" w:sz="0" w:space="0" w:color="auto"/>
            <w:left w:val="none" w:sz="0" w:space="0" w:color="auto"/>
            <w:bottom w:val="none" w:sz="0" w:space="0" w:color="auto"/>
            <w:right w:val="none" w:sz="0" w:space="0" w:color="auto"/>
          </w:divBdr>
          <w:divsChild>
            <w:div w:id="483622862">
              <w:marLeft w:val="0"/>
              <w:marRight w:val="0"/>
              <w:marTop w:val="0"/>
              <w:marBottom w:val="0"/>
              <w:divBdr>
                <w:top w:val="none" w:sz="0" w:space="0" w:color="auto"/>
                <w:left w:val="none" w:sz="0" w:space="0" w:color="auto"/>
                <w:bottom w:val="none" w:sz="0" w:space="0" w:color="auto"/>
                <w:right w:val="none" w:sz="0" w:space="0" w:color="auto"/>
              </w:divBdr>
              <w:divsChild>
                <w:div w:id="2120828670">
                  <w:marLeft w:val="3150"/>
                  <w:marRight w:val="120"/>
                  <w:marTop w:val="0"/>
                  <w:marBottom w:val="0"/>
                  <w:divBdr>
                    <w:top w:val="none" w:sz="0" w:space="0" w:color="auto"/>
                    <w:left w:val="none" w:sz="0" w:space="0" w:color="auto"/>
                    <w:bottom w:val="none" w:sz="0" w:space="0" w:color="auto"/>
                    <w:right w:val="none" w:sz="0" w:space="0" w:color="auto"/>
                  </w:divBdr>
                  <w:divsChild>
                    <w:div w:id="1119302209">
                      <w:marLeft w:val="150"/>
                      <w:marRight w:val="0"/>
                      <w:marTop w:val="150"/>
                      <w:marBottom w:val="0"/>
                      <w:divBdr>
                        <w:top w:val="none" w:sz="0" w:space="0" w:color="auto"/>
                        <w:left w:val="none" w:sz="0" w:space="0" w:color="auto"/>
                        <w:bottom w:val="none" w:sz="0" w:space="0" w:color="auto"/>
                        <w:right w:val="none" w:sz="0" w:space="0" w:color="auto"/>
                      </w:divBdr>
                      <w:divsChild>
                        <w:div w:id="1872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6687">
      <w:bodyDiv w:val="1"/>
      <w:marLeft w:val="0"/>
      <w:marRight w:val="0"/>
      <w:marTop w:val="0"/>
      <w:marBottom w:val="0"/>
      <w:divBdr>
        <w:top w:val="none" w:sz="0" w:space="0" w:color="auto"/>
        <w:left w:val="none" w:sz="0" w:space="0" w:color="auto"/>
        <w:bottom w:val="none" w:sz="0" w:space="0" w:color="auto"/>
        <w:right w:val="none" w:sz="0" w:space="0" w:color="auto"/>
      </w:divBdr>
      <w:divsChild>
        <w:div w:id="2061396920">
          <w:marLeft w:val="0"/>
          <w:marRight w:val="0"/>
          <w:marTop w:val="0"/>
          <w:marBottom w:val="0"/>
          <w:divBdr>
            <w:top w:val="none" w:sz="0" w:space="0" w:color="auto"/>
            <w:left w:val="none" w:sz="0" w:space="0" w:color="auto"/>
            <w:bottom w:val="none" w:sz="0" w:space="0" w:color="auto"/>
            <w:right w:val="none" w:sz="0" w:space="0" w:color="auto"/>
          </w:divBdr>
          <w:divsChild>
            <w:div w:id="1893882829">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1243956478">
                      <w:marLeft w:val="0"/>
                      <w:marRight w:val="0"/>
                      <w:marTop w:val="0"/>
                      <w:marBottom w:val="0"/>
                      <w:divBdr>
                        <w:top w:val="none" w:sz="0" w:space="0" w:color="auto"/>
                        <w:left w:val="none" w:sz="0" w:space="0" w:color="auto"/>
                        <w:bottom w:val="none" w:sz="0" w:space="0" w:color="auto"/>
                        <w:right w:val="none" w:sz="0" w:space="0" w:color="auto"/>
                      </w:divBdr>
                      <w:divsChild>
                        <w:div w:id="485820495">
                          <w:marLeft w:val="0"/>
                          <w:marRight w:val="0"/>
                          <w:marTop w:val="0"/>
                          <w:marBottom w:val="0"/>
                          <w:divBdr>
                            <w:top w:val="none" w:sz="0" w:space="0" w:color="auto"/>
                            <w:left w:val="none" w:sz="0" w:space="0" w:color="auto"/>
                            <w:bottom w:val="none" w:sz="0" w:space="0" w:color="auto"/>
                            <w:right w:val="none" w:sz="0" w:space="0" w:color="auto"/>
                          </w:divBdr>
                          <w:divsChild>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22470">
      <w:bodyDiv w:val="1"/>
      <w:marLeft w:val="0"/>
      <w:marRight w:val="0"/>
      <w:marTop w:val="0"/>
      <w:marBottom w:val="0"/>
      <w:divBdr>
        <w:top w:val="none" w:sz="0" w:space="0" w:color="auto"/>
        <w:left w:val="none" w:sz="0" w:space="0" w:color="auto"/>
        <w:bottom w:val="none" w:sz="0" w:space="0" w:color="auto"/>
        <w:right w:val="none" w:sz="0" w:space="0" w:color="auto"/>
      </w:divBdr>
      <w:divsChild>
        <w:div w:id="48576428">
          <w:marLeft w:val="0"/>
          <w:marRight w:val="0"/>
          <w:marTop w:val="0"/>
          <w:marBottom w:val="0"/>
          <w:divBdr>
            <w:top w:val="none" w:sz="0" w:space="0" w:color="auto"/>
            <w:left w:val="none" w:sz="0" w:space="0" w:color="auto"/>
            <w:bottom w:val="none" w:sz="0" w:space="0" w:color="auto"/>
            <w:right w:val="none" w:sz="0" w:space="0" w:color="auto"/>
          </w:divBdr>
          <w:divsChild>
            <w:div w:id="492911780">
              <w:marLeft w:val="0"/>
              <w:marRight w:val="0"/>
              <w:marTop w:val="0"/>
              <w:marBottom w:val="0"/>
              <w:divBdr>
                <w:top w:val="none" w:sz="0" w:space="0" w:color="auto"/>
                <w:left w:val="none" w:sz="0" w:space="0" w:color="auto"/>
                <w:bottom w:val="none" w:sz="0" w:space="0" w:color="auto"/>
                <w:right w:val="none" w:sz="0" w:space="0" w:color="auto"/>
              </w:divBdr>
              <w:divsChild>
                <w:div w:id="702100488">
                  <w:marLeft w:val="0"/>
                  <w:marRight w:val="0"/>
                  <w:marTop w:val="0"/>
                  <w:marBottom w:val="0"/>
                  <w:divBdr>
                    <w:top w:val="none" w:sz="0" w:space="0" w:color="auto"/>
                    <w:left w:val="none" w:sz="0" w:space="0" w:color="auto"/>
                    <w:bottom w:val="none" w:sz="0" w:space="0" w:color="auto"/>
                    <w:right w:val="none" w:sz="0" w:space="0" w:color="auto"/>
                  </w:divBdr>
                  <w:divsChild>
                    <w:div w:id="2147234133">
                      <w:marLeft w:val="0"/>
                      <w:marRight w:val="0"/>
                      <w:marTop w:val="0"/>
                      <w:marBottom w:val="0"/>
                      <w:divBdr>
                        <w:top w:val="none" w:sz="0" w:space="0" w:color="auto"/>
                        <w:left w:val="none" w:sz="0" w:space="0" w:color="auto"/>
                        <w:bottom w:val="none" w:sz="0" w:space="0" w:color="auto"/>
                        <w:right w:val="none" w:sz="0" w:space="0" w:color="auto"/>
                      </w:divBdr>
                      <w:divsChild>
                        <w:div w:id="1754087799">
                          <w:marLeft w:val="0"/>
                          <w:marRight w:val="0"/>
                          <w:marTop w:val="0"/>
                          <w:marBottom w:val="0"/>
                          <w:divBdr>
                            <w:top w:val="none" w:sz="0" w:space="0" w:color="auto"/>
                            <w:left w:val="none" w:sz="0" w:space="0" w:color="auto"/>
                            <w:bottom w:val="none" w:sz="0" w:space="0" w:color="auto"/>
                            <w:right w:val="none" w:sz="0" w:space="0" w:color="auto"/>
                          </w:divBdr>
                          <w:divsChild>
                            <w:div w:id="5554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8220">
      <w:bodyDiv w:val="1"/>
      <w:marLeft w:val="0"/>
      <w:marRight w:val="0"/>
      <w:marTop w:val="0"/>
      <w:marBottom w:val="0"/>
      <w:divBdr>
        <w:top w:val="none" w:sz="0" w:space="0" w:color="auto"/>
        <w:left w:val="none" w:sz="0" w:space="0" w:color="auto"/>
        <w:bottom w:val="none" w:sz="0" w:space="0" w:color="auto"/>
        <w:right w:val="none" w:sz="0" w:space="0" w:color="auto"/>
      </w:divBdr>
      <w:divsChild>
        <w:div w:id="1609313219">
          <w:marLeft w:val="0"/>
          <w:marRight w:val="0"/>
          <w:marTop w:val="0"/>
          <w:marBottom w:val="0"/>
          <w:divBdr>
            <w:top w:val="none" w:sz="0" w:space="0" w:color="auto"/>
            <w:left w:val="none" w:sz="0" w:space="0" w:color="auto"/>
            <w:bottom w:val="none" w:sz="0" w:space="0" w:color="auto"/>
            <w:right w:val="none" w:sz="0" w:space="0" w:color="auto"/>
          </w:divBdr>
          <w:divsChild>
            <w:div w:id="2133328228">
              <w:marLeft w:val="0"/>
              <w:marRight w:val="0"/>
              <w:marTop w:val="0"/>
              <w:marBottom w:val="0"/>
              <w:divBdr>
                <w:top w:val="none" w:sz="0" w:space="0" w:color="auto"/>
                <w:left w:val="none" w:sz="0" w:space="0" w:color="auto"/>
                <w:bottom w:val="none" w:sz="0" w:space="0" w:color="auto"/>
                <w:right w:val="none" w:sz="0" w:space="0" w:color="auto"/>
              </w:divBdr>
              <w:divsChild>
                <w:div w:id="822427505">
                  <w:marLeft w:val="0"/>
                  <w:marRight w:val="0"/>
                  <w:marTop w:val="0"/>
                  <w:marBottom w:val="0"/>
                  <w:divBdr>
                    <w:top w:val="none" w:sz="0" w:space="0" w:color="auto"/>
                    <w:left w:val="none" w:sz="0" w:space="0" w:color="auto"/>
                    <w:bottom w:val="none" w:sz="0" w:space="0" w:color="auto"/>
                    <w:right w:val="none" w:sz="0" w:space="0" w:color="auto"/>
                  </w:divBdr>
                  <w:divsChild>
                    <w:div w:id="1696732610">
                      <w:marLeft w:val="0"/>
                      <w:marRight w:val="0"/>
                      <w:marTop w:val="0"/>
                      <w:marBottom w:val="0"/>
                      <w:divBdr>
                        <w:top w:val="none" w:sz="0" w:space="0" w:color="auto"/>
                        <w:left w:val="none" w:sz="0" w:space="0" w:color="auto"/>
                        <w:bottom w:val="none" w:sz="0" w:space="0" w:color="auto"/>
                        <w:right w:val="none" w:sz="0" w:space="0" w:color="auto"/>
                      </w:divBdr>
                      <w:divsChild>
                        <w:div w:id="1960911864">
                          <w:marLeft w:val="0"/>
                          <w:marRight w:val="0"/>
                          <w:marTop w:val="0"/>
                          <w:marBottom w:val="0"/>
                          <w:divBdr>
                            <w:top w:val="none" w:sz="0" w:space="0" w:color="auto"/>
                            <w:left w:val="none" w:sz="0" w:space="0" w:color="auto"/>
                            <w:bottom w:val="none" w:sz="0" w:space="0" w:color="auto"/>
                            <w:right w:val="none" w:sz="0" w:space="0" w:color="auto"/>
                          </w:divBdr>
                          <w:divsChild>
                            <w:div w:id="10079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99234">
      <w:bodyDiv w:val="1"/>
      <w:marLeft w:val="0"/>
      <w:marRight w:val="0"/>
      <w:marTop w:val="0"/>
      <w:marBottom w:val="0"/>
      <w:divBdr>
        <w:top w:val="none" w:sz="0" w:space="0" w:color="auto"/>
        <w:left w:val="none" w:sz="0" w:space="0" w:color="auto"/>
        <w:bottom w:val="none" w:sz="0" w:space="0" w:color="auto"/>
        <w:right w:val="none" w:sz="0" w:space="0" w:color="auto"/>
      </w:divBdr>
      <w:divsChild>
        <w:div w:id="332491383">
          <w:marLeft w:val="0"/>
          <w:marRight w:val="0"/>
          <w:marTop w:val="0"/>
          <w:marBottom w:val="0"/>
          <w:divBdr>
            <w:top w:val="none" w:sz="0" w:space="0" w:color="auto"/>
            <w:left w:val="none" w:sz="0" w:space="0" w:color="auto"/>
            <w:bottom w:val="none" w:sz="0" w:space="0" w:color="auto"/>
            <w:right w:val="none" w:sz="0" w:space="0" w:color="auto"/>
          </w:divBdr>
          <w:divsChild>
            <w:div w:id="2039114033">
              <w:marLeft w:val="0"/>
              <w:marRight w:val="0"/>
              <w:marTop w:val="0"/>
              <w:marBottom w:val="0"/>
              <w:divBdr>
                <w:top w:val="none" w:sz="0" w:space="0" w:color="auto"/>
                <w:left w:val="none" w:sz="0" w:space="0" w:color="auto"/>
                <w:bottom w:val="none" w:sz="0" w:space="0" w:color="auto"/>
                <w:right w:val="none" w:sz="0" w:space="0" w:color="auto"/>
              </w:divBdr>
              <w:divsChild>
                <w:div w:id="1244875661">
                  <w:marLeft w:val="3150"/>
                  <w:marRight w:val="120"/>
                  <w:marTop w:val="0"/>
                  <w:marBottom w:val="0"/>
                  <w:divBdr>
                    <w:top w:val="none" w:sz="0" w:space="0" w:color="auto"/>
                    <w:left w:val="none" w:sz="0" w:space="0" w:color="auto"/>
                    <w:bottom w:val="none" w:sz="0" w:space="0" w:color="auto"/>
                    <w:right w:val="none" w:sz="0" w:space="0" w:color="auto"/>
                  </w:divBdr>
                  <w:divsChild>
                    <w:div w:id="2030138581">
                      <w:marLeft w:val="150"/>
                      <w:marRight w:val="0"/>
                      <w:marTop w:val="150"/>
                      <w:marBottom w:val="0"/>
                      <w:divBdr>
                        <w:top w:val="none" w:sz="0" w:space="0" w:color="auto"/>
                        <w:left w:val="none" w:sz="0" w:space="0" w:color="auto"/>
                        <w:bottom w:val="none" w:sz="0" w:space="0" w:color="auto"/>
                        <w:right w:val="none" w:sz="0" w:space="0" w:color="auto"/>
                      </w:divBdr>
                      <w:divsChild>
                        <w:div w:id="152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inspection-reports/our-expert-knowledge/physical-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reatedevelopmen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5E14-83F3-4362-8608-5EA906FF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 Craig</dc:creator>
  <cp:lastModifiedBy>Tim Cook</cp:lastModifiedBy>
  <cp:revision>2</cp:revision>
  <dcterms:created xsi:type="dcterms:W3CDTF">2023-08-31T09:18:00Z</dcterms:created>
  <dcterms:modified xsi:type="dcterms:W3CDTF">2023-08-31T09:18:00Z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Samantha.Lawrence@cornwall.gov.uk</vt:lpwstr>
  </property>
  <property fmtid="{D5CDD505-2E9C-101B-9397-08002B2CF9AE}" pid="5" name="MSIP_Label_65bade86-969a-4cfc-8d70-99d1f0adeaba_SetDate">
    <vt:lpwstr>2019-11-11T09:56:59.3872236Z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